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F4EBAE" w14:textId="77777777" w:rsidR="001F22C2" w:rsidRDefault="001F22C2" w:rsidP="005F0271">
      <w:pPr>
        <w:jc w:val="center"/>
        <w:rPr>
          <w:b/>
          <w:bCs/>
          <w:sz w:val="26"/>
          <w:szCs w:val="26"/>
          <w:rtl/>
        </w:rPr>
      </w:pPr>
      <w:bookmarkStart w:id="0" w:name="_Toc503130993"/>
      <w:bookmarkStart w:id="1" w:name="_Toc148528992"/>
      <w:bookmarkStart w:id="2" w:name="_Toc148529007"/>
      <w:r>
        <w:rPr>
          <w:noProof/>
        </w:rPr>
        <w:drawing>
          <wp:inline distT="0" distB="0" distL="0" distR="0" wp14:anchorId="75330029" wp14:editId="409A2300">
            <wp:extent cx="509905" cy="624205"/>
            <wp:effectExtent l="0" t="0" r="4445" b="4445"/>
            <wp:docPr id="1" name="תמונה 1" descr="סמל המדינה"/>
            <wp:cNvGraphicFramePr/>
            <a:graphic xmlns:a="http://schemas.openxmlformats.org/drawingml/2006/main">
              <a:graphicData uri="http://schemas.openxmlformats.org/drawingml/2006/picture">
                <pic:pic xmlns:pic="http://schemas.openxmlformats.org/drawingml/2006/picture">
                  <pic:nvPicPr>
                    <pic:cNvPr id="1" name="תמונה 1" descr="סמל המדינה"/>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9905" cy="624205"/>
                    </a:xfrm>
                    <a:prstGeom prst="rect">
                      <a:avLst/>
                    </a:prstGeom>
                    <a:noFill/>
                    <a:ln>
                      <a:noFill/>
                    </a:ln>
                  </pic:spPr>
                </pic:pic>
              </a:graphicData>
            </a:graphic>
          </wp:inline>
        </w:drawing>
      </w:r>
    </w:p>
    <w:p w14:paraId="4C022A68" w14:textId="77777777" w:rsidR="001F22C2" w:rsidRDefault="001F22C2" w:rsidP="005F0271">
      <w:pPr>
        <w:rPr>
          <w:b/>
          <w:bCs/>
          <w:sz w:val="26"/>
          <w:szCs w:val="26"/>
          <w:rtl/>
        </w:rPr>
      </w:pPr>
      <w:r w:rsidRPr="00CB5068">
        <w:rPr>
          <w:b/>
          <w:bCs/>
          <w:sz w:val="26"/>
          <w:szCs w:val="26"/>
          <w:rtl/>
        </w:rPr>
        <w:t>תוכן עניינים</w:t>
      </w:r>
    </w:p>
    <w:p w14:paraId="79602C06" w14:textId="39B11A9B" w:rsidR="001F22C2" w:rsidRDefault="001F22C2" w:rsidP="001F22C2">
      <w:pPr>
        <w:pStyle w:val="TOC1"/>
        <w:rPr>
          <w:rFonts w:asciiTheme="minorHAnsi" w:eastAsiaTheme="minorEastAsia" w:hAnsiTheme="minorHAnsi" w:cstheme="minorBidi"/>
          <w:bCs w:val="0"/>
          <w:noProof/>
          <w:sz w:val="22"/>
          <w:rtl/>
        </w:rPr>
      </w:pPr>
      <w:r>
        <w:rPr>
          <w:rtl/>
        </w:rPr>
        <w:fldChar w:fldCharType="begin"/>
      </w:r>
      <w:r>
        <w:rPr>
          <w:rtl/>
        </w:rPr>
        <w:instrText xml:space="preserve"> </w:instrText>
      </w:r>
      <w:r>
        <w:instrText>TOC</w:instrText>
      </w:r>
      <w:r>
        <w:rPr>
          <w:rtl/>
        </w:rPr>
        <w:instrText xml:space="preserve"> \</w:instrText>
      </w:r>
      <w:r>
        <w:instrText>o "1-9" \h \z \t "Table SideHeading,3,Table Head,2,Head HatzaotHok,1,Head DivreiHesber,2,Head HatzaotHok4Futer,1</w:instrText>
      </w:r>
      <w:r>
        <w:rPr>
          <w:rtl/>
        </w:rPr>
        <w:instrText xml:space="preserve">" </w:instrText>
      </w:r>
      <w:r>
        <w:rPr>
          <w:rtl/>
        </w:rPr>
        <w:fldChar w:fldCharType="separate"/>
      </w:r>
      <w:hyperlink w:anchor="_Toc224817836" w:history="1">
        <w:r w:rsidRPr="00FF7E8E">
          <w:rPr>
            <w:rStyle w:val="Hyperlink"/>
            <w:noProof/>
            <w:rtl/>
          </w:rPr>
          <w:t>תזכיר חוק</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Toc224817836 \h</w:instrText>
        </w:r>
        <w:r>
          <w:rPr>
            <w:noProof/>
            <w:webHidden/>
            <w:rtl/>
          </w:rPr>
          <w:instrText xml:space="preserve"> </w:instrText>
        </w:r>
        <w:r>
          <w:rPr>
            <w:rStyle w:val="Hyperlink"/>
            <w:noProof/>
            <w:rtl/>
          </w:rPr>
        </w:r>
        <w:r>
          <w:rPr>
            <w:rStyle w:val="Hyperlink"/>
            <w:noProof/>
            <w:rtl/>
          </w:rPr>
          <w:fldChar w:fldCharType="separate"/>
        </w:r>
        <w:r>
          <w:rPr>
            <w:noProof/>
            <w:webHidden/>
            <w:rtl/>
          </w:rPr>
          <w:t>2</w:t>
        </w:r>
        <w:r>
          <w:rPr>
            <w:rStyle w:val="Hyperlink"/>
            <w:noProof/>
            <w:rtl/>
          </w:rPr>
          <w:fldChar w:fldCharType="end"/>
        </w:r>
      </w:hyperlink>
    </w:p>
    <w:p w14:paraId="7985D6D7" w14:textId="053F6305" w:rsidR="001F22C2" w:rsidRDefault="001F22C2" w:rsidP="001F22C2">
      <w:pPr>
        <w:pStyle w:val="TOC4"/>
        <w:rPr>
          <w:rFonts w:cstheme="minorBidi"/>
          <w:rtl/>
        </w:rPr>
      </w:pPr>
      <w:hyperlink w:anchor="_Toc224817837" w:history="1">
        <w:r w:rsidRPr="00FF7E8E">
          <w:rPr>
            <w:rStyle w:val="Hyperlink"/>
            <w:rtl/>
          </w:rPr>
          <w:t>א. שם החוק המוצע</w:t>
        </w:r>
        <w:r>
          <w:rPr>
            <w:webHidden/>
            <w:rtl/>
          </w:rPr>
          <w:tab/>
        </w:r>
        <w:r>
          <w:rPr>
            <w:rStyle w:val="Hyperlink"/>
            <w:rtl/>
          </w:rPr>
          <w:fldChar w:fldCharType="begin"/>
        </w:r>
        <w:r>
          <w:rPr>
            <w:webHidden/>
            <w:rtl/>
          </w:rPr>
          <w:instrText xml:space="preserve"> </w:instrText>
        </w:r>
        <w:r>
          <w:rPr>
            <w:webHidden/>
          </w:rPr>
          <w:instrText>PAGEREF</w:instrText>
        </w:r>
        <w:r>
          <w:rPr>
            <w:webHidden/>
            <w:rtl/>
          </w:rPr>
          <w:instrText xml:space="preserve"> _</w:instrText>
        </w:r>
        <w:r>
          <w:rPr>
            <w:webHidden/>
          </w:rPr>
          <w:instrText>Toc224817837 \h</w:instrText>
        </w:r>
        <w:r>
          <w:rPr>
            <w:webHidden/>
            <w:rtl/>
          </w:rPr>
          <w:instrText xml:space="preserve"> </w:instrText>
        </w:r>
        <w:r>
          <w:rPr>
            <w:rStyle w:val="Hyperlink"/>
            <w:rtl/>
          </w:rPr>
        </w:r>
        <w:r>
          <w:rPr>
            <w:rStyle w:val="Hyperlink"/>
            <w:rtl/>
          </w:rPr>
          <w:fldChar w:fldCharType="separate"/>
        </w:r>
        <w:r>
          <w:rPr>
            <w:webHidden/>
            <w:rtl/>
          </w:rPr>
          <w:t>2</w:t>
        </w:r>
        <w:r>
          <w:rPr>
            <w:rStyle w:val="Hyperlink"/>
            <w:rtl/>
          </w:rPr>
          <w:fldChar w:fldCharType="end"/>
        </w:r>
      </w:hyperlink>
    </w:p>
    <w:p w14:paraId="1E8FEF44" w14:textId="345F5361" w:rsidR="001F22C2" w:rsidRDefault="001F22C2" w:rsidP="001F22C2">
      <w:pPr>
        <w:pStyle w:val="TOC1"/>
        <w:rPr>
          <w:rFonts w:asciiTheme="minorHAnsi" w:eastAsiaTheme="minorEastAsia" w:hAnsiTheme="minorHAnsi" w:cstheme="minorBidi"/>
          <w:bCs w:val="0"/>
          <w:noProof/>
          <w:sz w:val="22"/>
          <w:rtl/>
        </w:rPr>
      </w:pPr>
      <w:hyperlink w:anchor="_Toc224817838" w:history="1">
        <w:r w:rsidRPr="00FF7E8E">
          <w:rPr>
            <w:rStyle w:val="Hyperlink"/>
            <w:noProof/>
            <w:rtl/>
          </w:rPr>
          <w:t>תזכיר חוק התוכנית לסיוע כלכלי (הוראת שעה – שאגת הארי), התשפ"ו-2026</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Toc224817838 \h</w:instrText>
        </w:r>
        <w:r>
          <w:rPr>
            <w:noProof/>
            <w:webHidden/>
            <w:rtl/>
          </w:rPr>
          <w:instrText xml:space="preserve"> </w:instrText>
        </w:r>
        <w:r>
          <w:rPr>
            <w:rStyle w:val="Hyperlink"/>
            <w:noProof/>
            <w:rtl/>
          </w:rPr>
        </w:r>
        <w:r>
          <w:rPr>
            <w:rStyle w:val="Hyperlink"/>
            <w:noProof/>
            <w:rtl/>
          </w:rPr>
          <w:fldChar w:fldCharType="separate"/>
        </w:r>
        <w:r>
          <w:rPr>
            <w:noProof/>
            <w:webHidden/>
            <w:rtl/>
          </w:rPr>
          <w:t>2</w:t>
        </w:r>
        <w:r>
          <w:rPr>
            <w:rStyle w:val="Hyperlink"/>
            <w:noProof/>
            <w:rtl/>
          </w:rPr>
          <w:fldChar w:fldCharType="end"/>
        </w:r>
      </w:hyperlink>
    </w:p>
    <w:p w14:paraId="12DAD29B" w14:textId="1A8972D0" w:rsidR="001F22C2" w:rsidRDefault="001F22C2" w:rsidP="001F22C2">
      <w:pPr>
        <w:pStyle w:val="TOC4"/>
        <w:rPr>
          <w:rFonts w:cstheme="minorBidi"/>
          <w:rtl/>
        </w:rPr>
      </w:pPr>
      <w:hyperlink w:anchor="_Toc224817839" w:history="1">
        <w:r w:rsidRPr="00FF7E8E">
          <w:rPr>
            <w:rStyle w:val="Hyperlink"/>
            <w:rtl/>
          </w:rPr>
          <w:t>ג. השפעת תזכיר החוק המוצע על החוק הקיים</w:t>
        </w:r>
        <w:r>
          <w:rPr>
            <w:webHidden/>
            <w:rtl/>
          </w:rPr>
          <w:tab/>
        </w:r>
        <w:r>
          <w:rPr>
            <w:rStyle w:val="Hyperlink"/>
            <w:rtl/>
          </w:rPr>
          <w:fldChar w:fldCharType="begin"/>
        </w:r>
        <w:r>
          <w:rPr>
            <w:webHidden/>
            <w:rtl/>
          </w:rPr>
          <w:instrText xml:space="preserve"> </w:instrText>
        </w:r>
        <w:r>
          <w:rPr>
            <w:webHidden/>
          </w:rPr>
          <w:instrText>PAGEREF</w:instrText>
        </w:r>
        <w:r>
          <w:rPr>
            <w:webHidden/>
            <w:rtl/>
          </w:rPr>
          <w:instrText xml:space="preserve"> _</w:instrText>
        </w:r>
        <w:r>
          <w:rPr>
            <w:webHidden/>
          </w:rPr>
          <w:instrText>Toc224817839 \h</w:instrText>
        </w:r>
        <w:r>
          <w:rPr>
            <w:webHidden/>
            <w:rtl/>
          </w:rPr>
          <w:instrText xml:space="preserve"> </w:instrText>
        </w:r>
        <w:r>
          <w:rPr>
            <w:rStyle w:val="Hyperlink"/>
            <w:rtl/>
          </w:rPr>
        </w:r>
        <w:r>
          <w:rPr>
            <w:rStyle w:val="Hyperlink"/>
            <w:rtl/>
          </w:rPr>
          <w:fldChar w:fldCharType="separate"/>
        </w:r>
        <w:r>
          <w:rPr>
            <w:webHidden/>
            <w:rtl/>
          </w:rPr>
          <w:t>2</w:t>
        </w:r>
        <w:r>
          <w:rPr>
            <w:rStyle w:val="Hyperlink"/>
            <w:rtl/>
          </w:rPr>
          <w:fldChar w:fldCharType="end"/>
        </w:r>
      </w:hyperlink>
    </w:p>
    <w:p w14:paraId="6FCE420C" w14:textId="5AEB7821" w:rsidR="001F22C2" w:rsidRDefault="001F22C2" w:rsidP="001F22C2">
      <w:pPr>
        <w:pStyle w:val="TOC4"/>
        <w:rPr>
          <w:rFonts w:cstheme="minorBidi"/>
          <w:rtl/>
        </w:rPr>
      </w:pPr>
      <w:hyperlink w:anchor="_Toc224817840" w:history="1">
        <w:r w:rsidRPr="00FF7E8E">
          <w:rPr>
            <w:rStyle w:val="Hyperlink"/>
            <w:rFonts w:ascii="Arial" w:eastAsia="Arial Unicode MS" w:hAnsi="Arial"/>
            <w:snapToGrid w:val="0"/>
            <w:rtl/>
          </w:rPr>
          <w:t>העלות התקציבית המוערכת היא 300 מיליון ש"ח והיא תוקצה מתוך סכומים שיועדו לכך בסעיף 1(ד) בהחלטת ממשלה מס' 3970 מיום 10 במרץ 2026.</w:t>
        </w:r>
        <w:r>
          <w:rPr>
            <w:webHidden/>
            <w:rtl/>
          </w:rPr>
          <w:tab/>
        </w:r>
        <w:r>
          <w:rPr>
            <w:rStyle w:val="Hyperlink"/>
            <w:rtl/>
          </w:rPr>
          <w:fldChar w:fldCharType="begin"/>
        </w:r>
        <w:r>
          <w:rPr>
            <w:webHidden/>
            <w:rtl/>
          </w:rPr>
          <w:instrText xml:space="preserve"> </w:instrText>
        </w:r>
        <w:r>
          <w:rPr>
            <w:webHidden/>
          </w:rPr>
          <w:instrText>PAGEREF</w:instrText>
        </w:r>
        <w:r>
          <w:rPr>
            <w:webHidden/>
            <w:rtl/>
          </w:rPr>
          <w:instrText xml:space="preserve"> _</w:instrText>
        </w:r>
        <w:r>
          <w:rPr>
            <w:webHidden/>
          </w:rPr>
          <w:instrText>Toc224817840 \h</w:instrText>
        </w:r>
        <w:r>
          <w:rPr>
            <w:webHidden/>
            <w:rtl/>
          </w:rPr>
          <w:instrText xml:space="preserve"> </w:instrText>
        </w:r>
        <w:r>
          <w:rPr>
            <w:rStyle w:val="Hyperlink"/>
            <w:rtl/>
          </w:rPr>
        </w:r>
        <w:r>
          <w:rPr>
            <w:rStyle w:val="Hyperlink"/>
            <w:rtl/>
          </w:rPr>
          <w:fldChar w:fldCharType="separate"/>
        </w:r>
        <w:r>
          <w:rPr>
            <w:webHidden/>
            <w:rtl/>
          </w:rPr>
          <w:t>3</w:t>
        </w:r>
        <w:r>
          <w:rPr>
            <w:rStyle w:val="Hyperlink"/>
            <w:rtl/>
          </w:rPr>
          <w:fldChar w:fldCharType="end"/>
        </w:r>
      </w:hyperlink>
    </w:p>
    <w:p w14:paraId="56C8B9F9" w14:textId="4BCCDE33" w:rsidR="001F22C2" w:rsidRDefault="001F22C2" w:rsidP="001F22C2">
      <w:pPr>
        <w:pStyle w:val="TOC4"/>
        <w:rPr>
          <w:rFonts w:cstheme="minorBidi"/>
          <w:rtl/>
        </w:rPr>
      </w:pPr>
      <w:hyperlink w:anchor="_Toc224817841" w:history="1">
        <w:r w:rsidRPr="00FF7E8E">
          <w:rPr>
            <w:rStyle w:val="Hyperlink"/>
            <w:rtl/>
          </w:rPr>
          <w:t>ה. להלן נוסח תזכיר החוק המוצע</w:t>
        </w:r>
        <w:r>
          <w:rPr>
            <w:webHidden/>
            <w:rtl/>
          </w:rPr>
          <w:tab/>
        </w:r>
        <w:r>
          <w:rPr>
            <w:rStyle w:val="Hyperlink"/>
            <w:rtl/>
          </w:rPr>
          <w:fldChar w:fldCharType="begin"/>
        </w:r>
        <w:r>
          <w:rPr>
            <w:webHidden/>
            <w:rtl/>
          </w:rPr>
          <w:instrText xml:space="preserve"> </w:instrText>
        </w:r>
        <w:r>
          <w:rPr>
            <w:webHidden/>
          </w:rPr>
          <w:instrText>PAGEREF</w:instrText>
        </w:r>
        <w:r>
          <w:rPr>
            <w:webHidden/>
            <w:rtl/>
          </w:rPr>
          <w:instrText xml:space="preserve"> _</w:instrText>
        </w:r>
        <w:r>
          <w:rPr>
            <w:webHidden/>
          </w:rPr>
          <w:instrText>Toc224817841 \h</w:instrText>
        </w:r>
        <w:r>
          <w:rPr>
            <w:webHidden/>
            <w:rtl/>
          </w:rPr>
          <w:instrText xml:space="preserve"> </w:instrText>
        </w:r>
        <w:r>
          <w:rPr>
            <w:rStyle w:val="Hyperlink"/>
            <w:rtl/>
          </w:rPr>
        </w:r>
        <w:r>
          <w:rPr>
            <w:rStyle w:val="Hyperlink"/>
            <w:rtl/>
          </w:rPr>
          <w:fldChar w:fldCharType="separate"/>
        </w:r>
        <w:r>
          <w:rPr>
            <w:webHidden/>
            <w:rtl/>
          </w:rPr>
          <w:t>3</w:t>
        </w:r>
        <w:r>
          <w:rPr>
            <w:rStyle w:val="Hyperlink"/>
            <w:rtl/>
          </w:rPr>
          <w:fldChar w:fldCharType="end"/>
        </w:r>
      </w:hyperlink>
    </w:p>
    <w:p w14:paraId="6D9369C9" w14:textId="4BD9A0D5" w:rsidR="001F22C2" w:rsidRDefault="001F22C2" w:rsidP="001F22C2">
      <w:pPr>
        <w:pStyle w:val="TOC1"/>
        <w:rPr>
          <w:rFonts w:asciiTheme="minorHAnsi" w:eastAsiaTheme="minorEastAsia" w:hAnsiTheme="minorHAnsi" w:cstheme="minorBidi"/>
          <w:bCs w:val="0"/>
          <w:noProof/>
          <w:sz w:val="22"/>
          <w:rtl/>
        </w:rPr>
      </w:pPr>
      <w:hyperlink w:anchor="_Toc224817842" w:history="1">
        <w:r w:rsidRPr="00FF7E8E">
          <w:rPr>
            <w:rStyle w:val="Hyperlink"/>
            <w:noProof/>
            <w:rtl/>
          </w:rPr>
          <w:t>תזכיר חוק התוכנית לסיוע כלכלי (הוראת שעה – שאגת הארי), התשפ"ו–2026</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Toc224817842 \h</w:instrText>
        </w:r>
        <w:r>
          <w:rPr>
            <w:noProof/>
            <w:webHidden/>
            <w:rtl/>
          </w:rPr>
          <w:instrText xml:space="preserve"> </w:instrText>
        </w:r>
        <w:r>
          <w:rPr>
            <w:rStyle w:val="Hyperlink"/>
            <w:noProof/>
            <w:rtl/>
          </w:rPr>
        </w:r>
        <w:r>
          <w:rPr>
            <w:rStyle w:val="Hyperlink"/>
            <w:noProof/>
            <w:rtl/>
          </w:rPr>
          <w:fldChar w:fldCharType="separate"/>
        </w:r>
        <w:r>
          <w:rPr>
            <w:noProof/>
            <w:webHidden/>
            <w:rtl/>
          </w:rPr>
          <w:t>3</w:t>
        </w:r>
        <w:r>
          <w:rPr>
            <w:rStyle w:val="Hyperlink"/>
            <w:noProof/>
            <w:rtl/>
          </w:rPr>
          <w:fldChar w:fldCharType="end"/>
        </w:r>
      </w:hyperlink>
    </w:p>
    <w:p w14:paraId="4B4E262D" w14:textId="72BD8FA2" w:rsidR="001F22C2" w:rsidRDefault="001F22C2" w:rsidP="001F22C2">
      <w:pPr>
        <w:pStyle w:val="TOC3"/>
        <w:rPr>
          <w:rFonts w:asciiTheme="minorHAnsi" w:eastAsiaTheme="minorEastAsia" w:hAnsiTheme="minorHAnsi" w:cstheme="minorBidi"/>
          <w:noProof/>
          <w:sz w:val="22"/>
          <w:rtl/>
        </w:rPr>
      </w:pPr>
      <w:hyperlink w:anchor="_Toc224817843" w:history="1">
        <w:r w:rsidRPr="00FF7E8E">
          <w:rPr>
            <w:rStyle w:val="Hyperlink"/>
            <w:noProof/>
            <w:rtl/>
          </w:rPr>
          <w:t>תיקון חוק הביטוח הלאומי – הוראת שעה</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Toc224817843 \h</w:instrText>
        </w:r>
        <w:r>
          <w:rPr>
            <w:noProof/>
            <w:webHidden/>
            <w:rtl/>
          </w:rPr>
          <w:instrText xml:space="preserve"> </w:instrText>
        </w:r>
        <w:r>
          <w:rPr>
            <w:rStyle w:val="Hyperlink"/>
            <w:noProof/>
            <w:rtl/>
          </w:rPr>
        </w:r>
        <w:r>
          <w:rPr>
            <w:rStyle w:val="Hyperlink"/>
            <w:noProof/>
            <w:rtl/>
          </w:rPr>
          <w:fldChar w:fldCharType="separate"/>
        </w:r>
        <w:r>
          <w:rPr>
            <w:noProof/>
            <w:webHidden/>
            <w:rtl/>
          </w:rPr>
          <w:t>4</w:t>
        </w:r>
        <w:r>
          <w:rPr>
            <w:rStyle w:val="Hyperlink"/>
            <w:noProof/>
            <w:rtl/>
          </w:rPr>
          <w:fldChar w:fldCharType="end"/>
        </w:r>
      </w:hyperlink>
    </w:p>
    <w:p w14:paraId="101B6464" w14:textId="4700D22A" w:rsidR="001F22C2" w:rsidRDefault="001F22C2" w:rsidP="001F22C2">
      <w:pPr>
        <w:pStyle w:val="TOC2"/>
        <w:rPr>
          <w:rFonts w:asciiTheme="minorHAnsi" w:eastAsiaTheme="minorEastAsia" w:hAnsiTheme="minorHAnsi" w:cstheme="minorBidi"/>
          <w:noProof/>
          <w:sz w:val="22"/>
          <w:rtl/>
        </w:rPr>
      </w:pPr>
      <w:hyperlink w:anchor="_Toc224817844" w:history="1">
        <w:r w:rsidRPr="00FF7E8E">
          <w:rPr>
            <w:rStyle w:val="Hyperlink"/>
            <w:noProof/>
            <w:rtl/>
          </w:rPr>
          <w:t>"סימן ט': הוראות מיוחדות לעניין ביטוח אבטלה  - תקופת הלחימה – מבצע שאגת הארי 2026</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Toc224817844 \h</w:instrText>
        </w:r>
        <w:r>
          <w:rPr>
            <w:noProof/>
            <w:webHidden/>
            <w:rtl/>
          </w:rPr>
          <w:instrText xml:space="preserve"> </w:instrText>
        </w:r>
        <w:r>
          <w:rPr>
            <w:rStyle w:val="Hyperlink"/>
            <w:noProof/>
            <w:rtl/>
          </w:rPr>
        </w:r>
        <w:r>
          <w:rPr>
            <w:rStyle w:val="Hyperlink"/>
            <w:noProof/>
            <w:rtl/>
          </w:rPr>
          <w:fldChar w:fldCharType="separate"/>
        </w:r>
        <w:r>
          <w:rPr>
            <w:noProof/>
            <w:webHidden/>
            <w:rtl/>
          </w:rPr>
          <w:t>4</w:t>
        </w:r>
        <w:r>
          <w:rPr>
            <w:rStyle w:val="Hyperlink"/>
            <w:noProof/>
            <w:rtl/>
          </w:rPr>
          <w:fldChar w:fldCharType="end"/>
        </w:r>
      </w:hyperlink>
    </w:p>
    <w:p w14:paraId="05E71438" w14:textId="5166522B" w:rsidR="001F22C2" w:rsidRDefault="001F22C2" w:rsidP="001F22C2">
      <w:pPr>
        <w:pStyle w:val="TOC3"/>
        <w:rPr>
          <w:rFonts w:asciiTheme="minorHAnsi" w:eastAsiaTheme="minorEastAsia" w:hAnsiTheme="minorHAnsi" w:cstheme="minorBidi"/>
          <w:noProof/>
          <w:sz w:val="22"/>
          <w:rtl/>
        </w:rPr>
      </w:pPr>
      <w:hyperlink w:anchor="_Toc224817845" w:history="1">
        <w:r w:rsidRPr="00FF7E8E">
          <w:rPr>
            <w:rStyle w:val="Hyperlink"/>
            <w:noProof/>
            <w:rtl/>
          </w:rPr>
          <w:t>שיפוי המוסד לביטוח לאומי</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Toc224817845 \h</w:instrText>
        </w:r>
        <w:r>
          <w:rPr>
            <w:noProof/>
            <w:webHidden/>
            <w:rtl/>
          </w:rPr>
          <w:instrText xml:space="preserve"> </w:instrText>
        </w:r>
        <w:r>
          <w:rPr>
            <w:rStyle w:val="Hyperlink"/>
            <w:noProof/>
            <w:rtl/>
          </w:rPr>
        </w:r>
        <w:r>
          <w:rPr>
            <w:rStyle w:val="Hyperlink"/>
            <w:noProof/>
            <w:rtl/>
          </w:rPr>
          <w:fldChar w:fldCharType="separate"/>
        </w:r>
        <w:r>
          <w:rPr>
            <w:noProof/>
            <w:webHidden/>
            <w:rtl/>
          </w:rPr>
          <w:t>5</w:t>
        </w:r>
        <w:r>
          <w:rPr>
            <w:rStyle w:val="Hyperlink"/>
            <w:noProof/>
            <w:rtl/>
          </w:rPr>
          <w:fldChar w:fldCharType="end"/>
        </w:r>
      </w:hyperlink>
    </w:p>
    <w:p w14:paraId="0CFF4B30" w14:textId="617214FB" w:rsidR="001F22C2" w:rsidRDefault="001F22C2" w:rsidP="001F22C2">
      <w:pPr>
        <w:pStyle w:val="TOC3"/>
        <w:rPr>
          <w:rFonts w:asciiTheme="minorHAnsi" w:eastAsiaTheme="minorEastAsia" w:hAnsiTheme="minorHAnsi" w:cstheme="minorBidi"/>
          <w:noProof/>
          <w:sz w:val="22"/>
          <w:rtl/>
        </w:rPr>
      </w:pPr>
      <w:hyperlink w:anchor="_Toc224817846" w:history="1">
        <w:r w:rsidRPr="00FF7E8E">
          <w:rPr>
            <w:rStyle w:val="Hyperlink"/>
            <w:noProof/>
            <w:rtl/>
          </w:rPr>
          <w:t>תיקון חוק הביטוח הלאומי – הוראת שעה, תיקון מס' 259</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Toc224817846 \h</w:instrText>
        </w:r>
        <w:r>
          <w:rPr>
            <w:noProof/>
            <w:webHidden/>
            <w:rtl/>
          </w:rPr>
          <w:instrText xml:space="preserve"> </w:instrText>
        </w:r>
        <w:r>
          <w:rPr>
            <w:rStyle w:val="Hyperlink"/>
            <w:noProof/>
            <w:rtl/>
          </w:rPr>
        </w:r>
        <w:r>
          <w:rPr>
            <w:rStyle w:val="Hyperlink"/>
            <w:noProof/>
            <w:rtl/>
          </w:rPr>
          <w:fldChar w:fldCharType="separate"/>
        </w:r>
        <w:r>
          <w:rPr>
            <w:noProof/>
            <w:webHidden/>
            <w:rtl/>
          </w:rPr>
          <w:t>6</w:t>
        </w:r>
        <w:r>
          <w:rPr>
            <w:rStyle w:val="Hyperlink"/>
            <w:noProof/>
            <w:rtl/>
          </w:rPr>
          <w:fldChar w:fldCharType="end"/>
        </w:r>
      </w:hyperlink>
    </w:p>
    <w:p w14:paraId="38F435AC" w14:textId="515065D7" w:rsidR="001F22C2" w:rsidRDefault="001F22C2" w:rsidP="001F22C2">
      <w:pPr>
        <w:pStyle w:val="TOC3"/>
        <w:rPr>
          <w:rFonts w:asciiTheme="minorHAnsi" w:eastAsiaTheme="minorEastAsia" w:hAnsiTheme="minorHAnsi" w:cstheme="minorBidi"/>
          <w:noProof/>
          <w:sz w:val="22"/>
          <w:rtl/>
        </w:rPr>
      </w:pPr>
      <w:hyperlink w:anchor="_Toc224817847" w:history="1">
        <w:r w:rsidRPr="00FF7E8E">
          <w:rPr>
            <w:rStyle w:val="Hyperlink"/>
            <w:noProof/>
            <w:rtl/>
          </w:rPr>
          <w:t>תיקון חוק מענק מיוחד לבני 67 ומעלה (הוראת שעה – מקרים מיוחדים)</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Toc224817847 \h</w:instrText>
        </w:r>
        <w:r>
          <w:rPr>
            <w:noProof/>
            <w:webHidden/>
            <w:rtl/>
          </w:rPr>
          <w:instrText xml:space="preserve"> </w:instrText>
        </w:r>
        <w:r>
          <w:rPr>
            <w:rStyle w:val="Hyperlink"/>
            <w:noProof/>
            <w:rtl/>
          </w:rPr>
        </w:r>
        <w:r>
          <w:rPr>
            <w:rStyle w:val="Hyperlink"/>
            <w:noProof/>
            <w:rtl/>
          </w:rPr>
          <w:fldChar w:fldCharType="separate"/>
        </w:r>
        <w:r>
          <w:rPr>
            <w:noProof/>
            <w:webHidden/>
            <w:rtl/>
          </w:rPr>
          <w:t>6</w:t>
        </w:r>
        <w:r>
          <w:rPr>
            <w:rStyle w:val="Hyperlink"/>
            <w:noProof/>
            <w:rtl/>
          </w:rPr>
          <w:fldChar w:fldCharType="end"/>
        </w:r>
      </w:hyperlink>
    </w:p>
    <w:p w14:paraId="0BBBDB08" w14:textId="145BD4EA" w:rsidR="001F22C2" w:rsidRDefault="001F22C2" w:rsidP="001F22C2">
      <w:pPr>
        <w:pStyle w:val="TOC3"/>
        <w:rPr>
          <w:rFonts w:asciiTheme="minorHAnsi" w:eastAsiaTheme="minorEastAsia" w:hAnsiTheme="minorHAnsi" w:cstheme="minorBidi"/>
          <w:noProof/>
          <w:sz w:val="22"/>
          <w:rtl/>
        </w:rPr>
      </w:pPr>
      <w:hyperlink w:anchor="_Toc224817848" w:history="1">
        <w:r w:rsidRPr="00FF7E8E">
          <w:rPr>
            <w:rStyle w:val="Hyperlink"/>
            <w:noProof/>
            <w:rtl/>
          </w:rPr>
          <w:t>תשלומים ראשונים</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Toc224817848 \h</w:instrText>
        </w:r>
        <w:r>
          <w:rPr>
            <w:noProof/>
            <w:webHidden/>
            <w:rtl/>
          </w:rPr>
          <w:instrText xml:space="preserve"> </w:instrText>
        </w:r>
        <w:r>
          <w:rPr>
            <w:rStyle w:val="Hyperlink"/>
            <w:noProof/>
            <w:rtl/>
          </w:rPr>
        </w:r>
        <w:r>
          <w:rPr>
            <w:rStyle w:val="Hyperlink"/>
            <w:noProof/>
            <w:rtl/>
          </w:rPr>
          <w:fldChar w:fldCharType="separate"/>
        </w:r>
        <w:r>
          <w:rPr>
            <w:noProof/>
            <w:webHidden/>
            <w:rtl/>
          </w:rPr>
          <w:t>7</w:t>
        </w:r>
        <w:r>
          <w:rPr>
            <w:rStyle w:val="Hyperlink"/>
            <w:noProof/>
            <w:rtl/>
          </w:rPr>
          <w:fldChar w:fldCharType="end"/>
        </w:r>
      </w:hyperlink>
    </w:p>
    <w:p w14:paraId="40CE89B0" w14:textId="2B815E8E" w:rsidR="001F22C2" w:rsidRDefault="001F22C2" w:rsidP="001F22C2">
      <w:pPr>
        <w:pStyle w:val="TOC3"/>
        <w:rPr>
          <w:rFonts w:asciiTheme="minorHAnsi" w:eastAsiaTheme="minorEastAsia" w:hAnsiTheme="minorHAnsi" w:cstheme="minorBidi"/>
          <w:noProof/>
          <w:sz w:val="22"/>
          <w:rtl/>
        </w:rPr>
      </w:pPr>
      <w:hyperlink w:anchor="_Toc224817849" w:history="1">
        <w:r w:rsidRPr="00FF7E8E">
          <w:rPr>
            <w:rStyle w:val="Hyperlink"/>
            <w:noProof/>
            <w:rtl/>
          </w:rPr>
          <w:t>תיקון חוק עבודת נשים – הוראת שעה</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Toc224817849 \h</w:instrText>
        </w:r>
        <w:r>
          <w:rPr>
            <w:noProof/>
            <w:webHidden/>
            <w:rtl/>
          </w:rPr>
          <w:instrText xml:space="preserve"> </w:instrText>
        </w:r>
        <w:r>
          <w:rPr>
            <w:rStyle w:val="Hyperlink"/>
            <w:noProof/>
            <w:rtl/>
          </w:rPr>
        </w:r>
        <w:r>
          <w:rPr>
            <w:rStyle w:val="Hyperlink"/>
            <w:noProof/>
            <w:rtl/>
          </w:rPr>
          <w:fldChar w:fldCharType="separate"/>
        </w:r>
        <w:r>
          <w:rPr>
            <w:noProof/>
            <w:webHidden/>
            <w:rtl/>
          </w:rPr>
          <w:t>7</w:t>
        </w:r>
        <w:r>
          <w:rPr>
            <w:rStyle w:val="Hyperlink"/>
            <w:noProof/>
            <w:rtl/>
          </w:rPr>
          <w:fldChar w:fldCharType="end"/>
        </w:r>
      </w:hyperlink>
    </w:p>
    <w:p w14:paraId="4E84FF3A" w14:textId="03B73C9F" w:rsidR="001F22C2" w:rsidRDefault="001F22C2" w:rsidP="001F22C2">
      <w:pPr>
        <w:pStyle w:val="TOC3"/>
        <w:rPr>
          <w:rFonts w:asciiTheme="minorHAnsi" w:eastAsiaTheme="minorEastAsia" w:hAnsiTheme="minorHAnsi" w:cstheme="minorBidi"/>
          <w:noProof/>
          <w:sz w:val="22"/>
          <w:rtl/>
        </w:rPr>
      </w:pPr>
      <w:hyperlink w:anchor="_Toc224817850" w:history="1">
        <w:r w:rsidRPr="00FF7E8E">
          <w:rPr>
            <w:rStyle w:val="Hyperlink"/>
            <w:noProof/>
            <w:rtl/>
          </w:rPr>
          <w:t>שמירת דינים</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Toc224817850 \h</w:instrText>
        </w:r>
        <w:r>
          <w:rPr>
            <w:noProof/>
            <w:webHidden/>
            <w:rtl/>
          </w:rPr>
          <w:instrText xml:space="preserve"> </w:instrText>
        </w:r>
        <w:r>
          <w:rPr>
            <w:rStyle w:val="Hyperlink"/>
            <w:noProof/>
            <w:rtl/>
          </w:rPr>
        </w:r>
        <w:r>
          <w:rPr>
            <w:rStyle w:val="Hyperlink"/>
            <w:noProof/>
            <w:rtl/>
          </w:rPr>
          <w:fldChar w:fldCharType="separate"/>
        </w:r>
        <w:r>
          <w:rPr>
            <w:noProof/>
            <w:webHidden/>
            <w:rtl/>
          </w:rPr>
          <w:t>8</w:t>
        </w:r>
        <w:r>
          <w:rPr>
            <w:rStyle w:val="Hyperlink"/>
            <w:noProof/>
            <w:rtl/>
          </w:rPr>
          <w:fldChar w:fldCharType="end"/>
        </w:r>
      </w:hyperlink>
    </w:p>
    <w:p w14:paraId="6DD0900C" w14:textId="5F402930" w:rsidR="001F22C2" w:rsidRDefault="001F22C2" w:rsidP="001F22C2">
      <w:pPr>
        <w:rPr>
          <w:snapToGrid w:val="0"/>
          <w:rtl/>
        </w:rPr>
      </w:pPr>
      <w:r>
        <w:rPr>
          <w:rtl/>
        </w:rPr>
        <w:fldChar w:fldCharType="end"/>
      </w:r>
      <w:r>
        <w:rPr>
          <w:rtl/>
        </w:rPr>
        <w:br w:type="page"/>
      </w:r>
    </w:p>
    <w:p w14:paraId="523009A8" w14:textId="4AE90A9B" w:rsidR="004E4189" w:rsidRPr="00785B20" w:rsidRDefault="004E4189" w:rsidP="004E4189">
      <w:pPr>
        <w:pStyle w:val="10"/>
        <w:keepNext w:val="0"/>
        <w:keepLines w:val="0"/>
        <w:rPr>
          <w:rFonts w:ascii="David" w:hAnsi="David"/>
          <w:rtl/>
        </w:rPr>
      </w:pPr>
      <w:bookmarkStart w:id="3" w:name="_Toc224817814"/>
      <w:bookmarkStart w:id="4" w:name="_Toc224817836"/>
      <w:r>
        <w:rPr>
          <w:rFonts w:ascii="David" w:hAnsi="David" w:hint="cs"/>
          <w:rtl/>
        </w:rPr>
        <w:lastRenderedPageBreak/>
        <w:t>תזכיר</w:t>
      </w:r>
      <w:r w:rsidRPr="00785B20">
        <w:rPr>
          <w:rFonts w:ascii="David" w:hAnsi="David"/>
          <w:rtl/>
        </w:rPr>
        <w:t xml:space="preserve"> חוק</w:t>
      </w:r>
      <w:bookmarkEnd w:id="0"/>
      <w:bookmarkEnd w:id="1"/>
      <w:bookmarkEnd w:id="2"/>
      <w:bookmarkEnd w:id="3"/>
      <w:bookmarkEnd w:id="4"/>
    </w:p>
    <w:p w14:paraId="17EF56AA" w14:textId="77777777" w:rsidR="004E4189" w:rsidRPr="00785B20" w:rsidRDefault="004E4189" w:rsidP="00EC2DB0">
      <w:pPr>
        <w:pStyle w:val="4"/>
        <w:numPr>
          <w:ilvl w:val="0"/>
          <w:numId w:val="2"/>
        </w:numPr>
      </w:pPr>
      <w:bookmarkStart w:id="5" w:name="_Toc148529008"/>
      <w:bookmarkStart w:id="6" w:name="_Toc224817837"/>
      <w:r w:rsidRPr="00785B20">
        <w:rPr>
          <w:rtl/>
        </w:rPr>
        <w:t>שם החוק המוצע</w:t>
      </w:r>
      <w:bookmarkEnd w:id="5"/>
      <w:bookmarkEnd w:id="6"/>
    </w:p>
    <w:p w14:paraId="53DC690F" w14:textId="73578523" w:rsidR="004E4189" w:rsidRPr="009A6C77" w:rsidRDefault="0080376A" w:rsidP="004E4189">
      <w:pPr>
        <w:pStyle w:val="HeadHatzaotHok"/>
        <w:keepNext w:val="0"/>
        <w:keepLines w:val="0"/>
        <w:jc w:val="both"/>
        <w:rPr>
          <w:b w:val="0"/>
          <w:bCs w:val="0"/>
          <w:rtl/>
        </w:rPr>
      </w:pPr>
      <w:bookmarkStart w:id="7" w:name="_Toc224817815"/>
      <w:bookmarkStart w:id="8" w:name="_Toc224817838"/>
      <w:r>
        <w:rPr>
          <w:rFonts w:hint="cs"/>
          <w:b w:val="0"/>
          <w:bCs w:val="0"/>
          <w:rtl/>
        </w:rPr>
        <w:t>תזכיר</w:t>
      </w:r>
      <w:r w:rsidR="004E4189" w:rsidRPr="009A6C77">
        <w:rPr>
          <w:b w:val="0"/>
          <w:bCs w:val="0"/>
          <w:rtl/>
        </w:rPr>
        <w:t xml:space="preserve"> חוק </w:t>
      </w:r>
      <w:r w:rsidR="004E4189" w:rsidRPr="009A6C77">
        <w:rPr>
          <w:rFonts w:hint="cs"/>
          <w:b w:val="0"/>
          <w:bCs w:val="0"/>
          <w:rtl/>
        </w:rPr>
        <w:t xml:space="preserve">התוכנית לסיוע כלכלי (הוראת שעה </w:t>
      </w:r>
      <w:r w:rsidR="004E4189" w:rsidRPr="009A6C77">
        <w:rPr>
          <w:b w:val="0"/>
          <w:bCs w:val="0"/>
          <w:rtl/>
        </w:rPr>
        <w:t>–</w:t>
      </w:r>
      <w:r w:rsidR="004E4189" w:rsidRPr="009A6C77">
        <w:rPr>
          <w:rFonts w:hint="cs"/>
          <w:b w:val="0"/>
          <w:bCs w:val="0"/>
          <w:rtl/>
        </w:rPr>
        <w:t xml:space="preserve"> </w:t>
      </w:r>
      <w:r w:rsidR="004E4189">
        <w:rPr>
          <w:rFonts w:hint="cs"/>
          <w:b w:val="0"/>
          <w:bCs w:val="0"/>
          <w:rtl/>
        </w:rPr>
        <w:t>שאגת הארי</w:t>
      </w:r>
      <w:r w:rsidR="004E4189" w:rsidRPr="009A6C77">
        <w:rPr>
          <w:rFonts w:hint="cs"/>
          <w:b w:val="0"/>
          <w:bCs w:val="0"/>
          <w:rtl/>
        </w:rPr>
        <w:t>), התשפ"</w:t>
      </w:r>
      <w:r w:rsidR="004E4189">
        <w:rPr>
          <w:rFonts w:hint="cs"/>
          <w:b w:val="0"/>
          <w:bCs w:val="0"/>
          <w:rtl/>
        </w:rPr>
        <w:t>ו</w:t>
      </w:r>
      <w:r w:rsidR="004E4189" w:rsidRPr="009A6C77">
        <w:rPr>
          <w:rFonts w:hint="cs"/>
          <w:b w:val="0"/>
          <w:bCs w:val="0"/>
          <w:rtl/>
        </w:rPr>
        <w:t>-202</w:t>
      </w:r>
      <w:r w:rsidR="004E4189">
        <w:rPr>
          <w:rFonts w:hint="cs"/>
          <w:b w:val="0"/>
          <w:bCs w:val="0"/>
          <w:rtl/>
        </w:rPr>
        <w:t>6</w:t>
      </w:r>
      <w:bookmarkEnd w:id="7"/>
      <w:bookmarkEnd w:id="8"/>
    </w:p>
    <w:p w14:paraId="49B75238" w14:textId="77777777" w:rsidR="004E4189" w:rsidRPr="00785B20" w:rsidRDefault="004E4189" w:rsidP="004E4189">
      <w:pPr>
        <w:rPr>
          <w:rtl/>
        </w:rPr>
      </w:pPr>
    </w:p>
    <w:p w14:paraId="18DA0C28" w14:textId="77777777" w:rsidR="004E4189" w:rsidRDefault="004E4189" w:rsidP="00EC2DB0">
      <w:pPr>
        <w:numPr>
          <w:ilvl w:val="0"/>
          <w:numId w:val="1"/>
        </w:numPr>
        <w:autoSpaceDE w:val="0"/>
        <w:autoSpaceDN w:val="0"/>
        <w:adjustRightInd w:val="0"/>
        <w:spacing w:before="40"/>
        <w:textAlignment w:val="center"/>
        <w:outlineLvl w:val="3"/>
        <w:rPr>
          <w:b/>
          <w:bCs/>
          <w:szCs w:val="28"/>
        </w:rPr>
      </w:pPr>
      <w:r w:rsidRPr="00EC00C4">
        <w:rPr>
          <w:rFonts w:hint="cs"/>
          <w:b/>
          <w:bCs/>
          <w:szCs w:val="28"/>
          <w:rtl/>
        </w:rPr>
        <w:t>עיקרי החוק המוצע ומטרותיו</w:t>
      </w:r>
    </w:p>
    <w:p w14:paraId="494240AA" w14:textId="622CB95D" w:rsidR="0080376A" w:rsidRPr="003F18D2" w:rsidRDefault="004E4189" w:rsidP="0080376A">
      <w:pPr>
        <w:rPr>
          <w:sz w:val="26"/>
          <w:szCs w:val="26"/>
          <w:rtl/>
        </w:rPr>
      </w:pPr>
      <w:r w:rsidRPr="003F18D2">
        <w:rPr>
          <w:sz w:val="26"/>
          <w:szCs w:val="26"/>
          <w:rtl/>
        </w:rPr>
        <w:t>ביום</w:t>
      </w:r>
      <w:r w:rsidRPr="003F18D2">
        <w:rPr>
          <w:rFonts w:hint="cs"/>
          <w:sz w:val="26"/>
          <w:szCs w:val="26"/>
          <w:rtl/>
        </w:rPr>
        <w:t xml:space="preserve"> י"א באדר התשפ"ו</w:t>
      </w:r>
      <w:r w:rsidRPr="003F18D2">
        <w:rPr>
          <w:sz w:val="26"/>
          <w:szCs w:val="26"/>
          <w:rtl/>
        </w:rPr>
        <w:t xml:space="preserve"> </w:t>
      </w:r>
      <w:r w:rsidRPr="003F18D2">
        <w:rPr>
          <w:rFonts w:hint="cs"/>
          <w:sz w:val="26"/>
          <w:szCs w:val="26"/>
          <w:rtl/>
        </w:rPr>
        <w:t>(28 בפברואר 2026)</w:t>
      </w:r>
      <w:r w:rsidRPr="003F18D2">
        <w:rPr>
          <w:sz w:val="26"/>
          <w:szCs w:val="26"/>
          <w:rtl/>
        </w:rPr>
        <w:t xml:space="preserve">, </w:t>
      </w:r>
      <w:r w:rsidRPr="003F18D2">
        <w:rPr>
          <w:rFonts w:hint="cs"/>
          <w:sz w:val="26"/>
          <w:szCs w:val="26"/>
          <w:rtl/>
        </w:rPr>
        <w:t>החלה המערכה מול</w:t>
      </w:r>
      <w:r w:rsidRPr="003F18D2">
        <w:rPr>
          <w:sz w:val="26"/>
          <w:szCs w:val="26"/>
          <w:rtl/>
        </w:rPr>
        <w:t xml:space="preserve"> איראן, מבצע "</w:t>
      </w:r>
      <w:r w:rsidRPr="003F18D2">
        <w:rPr>
          <w:rFonts w:hint="cs"/>
          <w:sz w:val="26"/>
          <w:szCs w:val="26"/>
          <w:rtl/>
        </w:rPr>
        <w:t>שאגת הארי</w:t>
      </w:r>
      <w:r w:rsidRPr="003F18D2">
        <w:rPr>
          <w:sz w:val="26"/>
          <w:szCs w:val="26"/>
          <w:rtl/>
        </w:rPr>
        <w:t>"</w:t>
      </w:r>
      <w:r w:rsidR="008B55D8" w:rsidRPr="003F18D2">
        <w:rPr>
          <w:rFonts w:hint="cs"/>
          <w:sz w:val="26"/>
          <w:szCs w:val="26"/>
          <w:rtl/>
        </w:rPr>
        <w:t xml:space="preserve">. </w:t>
      </w:r>
      <w:r w:rsidRPr="003F18D2">
        <w:rPr>
          <w:sz w:val="26"/>
          <w:szCs w:val="26"/>
          <w:rtl/>
        </w:rPr>
        <w:t>בעקבות היציאה למבצע, מדינת ישראל התמודדה עם ירי ט</w:t>
      </w:r>
      <w:r w:rsidRPr="003F18D2">
        <w:rPr>
          <w:rFonts w:hint="cs"/>
          <w:sz w:val="26"/>
          <w:szCs w:val="26"/>
          <w:rtl/>
        </w:rPr>
        <w:t>ילי קרקע-קרקע</w:t>
      </w:r>
      <w:r w:rsidRPr="003F18D2">
        <w:rPr>
          <w:sz w:val="26"/>
          <w:szCs w:val="26"/>
          <w:rtl/>
        </w:rPr>
        <w:t xml:space="preserve"> וכ</w:t>
      </w:r>
      <w:r w:rsidRPr="003F18D2">
        <w:rPr>
          <w:rFonts w:hint="cs"/>
          <w:sz w:val="26"/>
          <w:szCs w:val="26"/>
          <w:rtl/>
        </w:rPr>
        <w:t>לי טיס בלתי מאוישים</w:t>
      </w:r>
      <w:r w:rsidRPr="003F18D2">
        <w:rPr>
          <w:sz w:val="26"/>
          <w:szCs w:val="26"/>
          <w:rtl/>
        </w:rPr>
        <w:t xml:space="preserve"> בהיקפים גדולים וחריגים מאיראן ושלוחותיה אל עבר שטחי המדינה.</w:t>
      </w:r>
    </w:p>
    <w:p w14:paraId="0C6DD850" w14:textId="1C06FFFC" w:rsidR="0080376A" w:rsidRPr="003F18D2" w:rsidRDefault="004E4189" w:rsidP="0080376A">
      <w:pPr>
        <w:rPr>
          <w:sz w:val="26"/>
          <w:szCs w:val="26"/>
          <w:rtl/>
        </w:rPr>
      </w:pPr>
      <w:r w:rsidRPr="003F18D2">
        <w:rPr>
          <w:sz w:val="26"/>
          <w:szCs w:val="26"/>
          <w:rtl/>
        </w:rPr>
        <w:t>בשל האמור, הכריז שר הביטחון על מצב מיוחד בעורף בכל שטח המדינה, שחל החל מיום</w:t>
      </w:r>
      <w:r w:rsidRPr="003F18D2">
        <w:rPr>
          <w:rFonts w:hint="cs"/>
          <w:sz w:val="26"/>
          <w:szCs w:val="26"/>
          <w:rtl/>
        </w:rPr>
        <w:t xml:space="preserve"> י"א באדר  התשפ"ו</w:t>
      </w:r>
      <w:r w:rsidRPr="003F18D2">
        <w:rPr>
          <w:sz w:val="26"/>
          <w:szCs w:val="26"/>
          <w:rtl/>
        </w:rPr>
        <w:t xml:space="preserve"> </w:t>
      </w:r>
      <w:r w:rsidRPr="003F18D2">
        <w:rPr>
          <w:rFonts w:hint="cs"/>
          <w:sz w:val="26"/>
          <w:szCs w:val="26"/>
          <w:rtl/>
        </w:rPr>
        <w:t>(28 בפברואר 2026)</w:t>
      </w:r>
      <w:r w:rsidRPr="003F18D2">
        <w:rPr>
          <w:sz w:val="26"/>
          <w:szCs w:val="26"/>
          <w:rtl/>
        </w:rPr>
        <w:t xml:space="preserve"> בשעה </w:t>
      </w:r>
      <w:r w:rsidR="00D64012" w:rsidRPr="003F18D2">
        <w:rPr>
          <w:rFonts w:hint="cs"/>
          <w:sz w:val="26"/>
          <w:szCs w:val="26"/>
          <w:rtl/>
        </w:rPr>
        <w:t xml:space="preserve">08:10 </w:t>
      </w:r>
      <w:r w:rsidRPr="003F18D2">
        <w:rPr>
          <w:sz w:val="26"/>
          <w:szCs w:val="26"/>
          <w:rtl/>
        </w:rPr>
        <w:t>למשך 48 שעות, מכוח סמכותו לפי סעיף 9ג(ב)(1) לחוק ההתגוננות האזרחית, התשי"א-1951. ביום</w:t>
      </w:r>
      <w:r w:rsidRPr="003F18D2">
        <w:rPr>
          <w:rFonts w:hint="cs"/>
          <w:sz w:val="26"/>
          <w:szCs w:val="26"/>
          <w:rtl/>
        </w:rPr>
        <w:t xml:space="preserve"> י"</w:t>
      </w:r>
      <w:r w:rsidR="00D64012" w:rsidRPr="003F18D2">
        <w:rPr>
          <w:rFonts w:hint="cs"/>
          <w:sz w:val="26"/>
          <w:szCs w:val="26"/>
          <w:rtl/>
        </w:rPr>
        <w:t>ב</w:t>
      </w:r>
      <w:r w:rsidRPr="003F18D2">
        <w:rPr>
          <w:rFonts w:hint="cs"/>
          <w:sz w:val="26"/>
          <w:szCs w:val="26"/>
          <w:rtl/>
        </w:rPr>
        <w:t xml:space="preserve"> </w:t>
      </w:r>
      <w:proofErr w:type="spellStart"/>
      <w:r w:rsidRPr="003F18D2">
        <w:rPr>
          <w:rFonts w:hint="cs"/>
          <w:sz w:val="26"/>
          <w:szCs w:val="26"/>
          <w:rtl/>
        </w:rPr>
        <w:t>ב</w:t>
      </w:r>
      <w:r w:rsidR="00D64012" w:rsidRPr="003F18D2">
        <w:rPr>
          <w:rFonts w:hint="cs"/>
          <w:sz w:val="26"/>
          <w:szCs w:val="26"/>
          <w:rtl/>
        </w:rPr>
        <w:t>אדר</w:t>
      </w:r>
      <w:proofErr w:type="spellEnd"/>
      <w:r w:rsidRPr="003F18D2">
        <w:rPr>
          <w:rFonts w:hint="cs"/>
          <w:sz w:val="26"/>
          <w:szCs w:val="26"/>
          <w:rtl/>
        </w:rPr>
        <w:t xml:space="preserve"> </w:t>
      </w:r>
      <w:proofErr w:type="spellStart"/>
      <w:r w:rsidRPr="003F18D2">
        <w:rPr>
          <w:rFonts w:hint="cs"/>
          <w:sz w:val="26"/>
          <w:szCs w:val="26"/>
          <w:rtl/>
        </w:rPr>
        <w:t>התשפ</w:t>
      </w:r>
      <w:proofErr w:type="spellEnd"/>
      <w:r w:rsidRPr="003F18D2">
        <w:rPr>
          <w:rFonts w:hint="cs"/>
          <w:sz w:val="26"/>
          <w:szCs w:val="26"/>
          <w:rtl/>
        </w:rPr>
        <w:t>"</w:t>
      </w:r>
      <w:r w:rsidR="00D64012" w:rsidRPr="003F18D2">
        <w:rPr>
          <w:rFonts w:hint="cs"/>
          <w:sz w:val="26"/>
          <w:szCs w:val="26"/>
          <w:rtl/>
        </w:rPr>
        <w:t>ו</w:t>
      </w:r>
      <w:r w:rsidRPr="003F18D2">
        <w:rPr>
          <w:sz w:val="26"/>
          <w:szCs w:val="26"/>
          <w:rtl/>
        </w:rPr>
        <w:t xml:space="preserve"> </w:t>
      </w:r>
      <w:r w:rsidRPr="003F18D2">
        <w:rPr>
          <w:rFonts w:hint="cs"/>
          <w:sz w:val="26"/>
          <w:szCs w:val="26"/>
          <w:rtl/>
        </w:rPr>
        <w:t>(</w:t>
      </w:r>
      <w:r w:rsidR="00D64012" w:rsidRPr="003F18D2">
        <w:rPr>
          <w:rFonts w:hint="cs"/>
          <w:sz w:val="26"/>
          <w:szCs w:val="26"/>
          <w:rtl/>
        </w:rPr>
        <w:t>1 במרץ 2026</w:t>
      </w:r>
      <w:r w:rsidRPr="003F18D2">
        <w:rPr>
          <w:rFonts w:hint="cs"/>
          <w:sz w:val="26"/>
          <w:szCs w:val="26"/>
          <w:rtl/>
        </w:rPr>
        <w:t>)</w:t>
      </w:r>
      <w:r w:rsidRPr="003F18D2">
        <w:rPr>
          <w:sz w:val="26"/>
          <w:szCs w:val="26"/>
          <w:rtl/>
        </w:rPr>
        <w:t xml:space="preserve"> הוארך המצב המיוחד בעורף עד ליום</w:t>
      </w:r>
      <w:r w:rsidRPr="003F18D2">
        <w:rPr>
          <w:rFonts w:hint="cs"/>
          <w:sz w:val="26"/>
          <w:szCs w:val="26"/>
          <w:rtl/>
        </w:rPr>
        <w:t xml:space="preserve"> </w:t>
      </w:r>
      <w:r w:rsidR="00CD06F2" w:rsidRPr="003F18D2">
        <w:rPr>
          <w:sz w:val="26"/>
          <w:szCs w:val="26"/>
          <w:rtl/>
        </w:rPr>
        <w:t xml:space="preserve">כ"ג באדר </w:t>
      </w:r>
      <w:proofErr w:type="spellStart"/>
      <w:r w:rsidR="00CD06F2" w:rsidRPr="003F18D2">
        <w:rPr>
          <w:sz w:val="26"/>
          <w:szCs w:val="26"/>
          <w:rtl/>
        </w:rPr>
        <w:t>התשפ</w:t>
      </w:r>
      <w:proofErr w:type="spellEnd"/>
      <w:r w:rsidR="00CD06F2" w:rsidRPr="003F18D2">
        <w:rPr>
          <w:sz w:val="26"/>
          <w:szCs w:val="26"/>
          <w:rtl/>
        </w:rPr>
        <w:t>"ו (12 במרץ 2026)</w:t>
      </w:r>
      <w:r w:rsidR="00CD06F2" w:rsidRPr="003F18D2">
        <w:rPr>
          <w:rFonts w:hint="cs"/>
          <w:sz w:val="26"/>
          <w:szCs w:val="26"/>
          <w:rtl/>
        </w:rPr>
        <w:t xml:space="preserve"> ובהמשך הוארך עד ליום </w:t>
      </w:r>
      <w:r w:rsidR="000673D3" w:rsidRPr="003F18D2">
        <w:rPr>
          <w:rFonts w:hint="cs"/>
          <w:sz w:val="26"/>
          <w:szCs w:val="26"/>
          <w:rtl/>
        </w:rPr>
        <w:t xml:space="preserve">ח' בניסן </w:t>
      </w:r>
      <w:proofErr w:type="spellStart"/>
      <w:r w:rsidR="000673D3" w:rsidRPr="003F18D2">
        <w:rPr>
          <w:rFonts w:hint="cs"/>
          <w:sz w:val="26"/>
          <w:szCs w:val="26"/>
          <w:rtl/>
        </w:rPr>
        <w:t>הת</w:t>
      </w:r>
      <w:r w:rsidR="00D64012" w:rsidRPr="003F18D2">
        <w:rPr>
          <w:rFonts w:hint="cs"/>
          <w:sz w:val="26"/>
          <w:szCs w:val="26"/>
          <w:rtl/>
        </w:rPr>
        <w:t>שפ</w:t>
      </w:r>
      <w:proofErr w:type="spellEnd"/>
      <w:r w:rsidR="00D64012" w:rsidRPr="003F18D2">
        <w:rPr>
          <w:rFonts w:hint="cs"/>
          <w:sz w:val="26"/>
          <w:szCs w:val="26"/>
          <w:rtl/>
        </w:rPr>
        <w:t xml:space="preserve">"ו </w:t>
      </w:r>
      <w:r w:rsidRPr="003F18D2">
        <w:rPr>
          <w:rFonts w:hint="cs"/>
          <w:sz w:val="26"/>
          <w:szCs w:val="26"/>
          <w:rtl/>
        </w:rPr>
        <w:t>(</w:t>
      </w:r>
      <w:r w:rsidR="000673D3" w:rsidRPr="003F18D2">
        <w:rPr>
          <w:rFonts w:hint="cs"/>
          <w:sz w:val="26"/>
          <w:szCs w:val="26"/>
          <w:rtl/>
        </w:rPr>
        <w:t>26</w:t>
      </w:r>
      <w:r w:rsidR="001613E7" w:rsidRPr="003F18D2">
        <w:rPr>
          <w:rFonts w:hint="cs"/>
          <w:sz w:val="26"/>
          <w:szCs w:val="26"/>
          <w:rtl/>
        </w:rPr>
        <w:t xml:space="preserve"> </w:t>
      </w:r>
      <w:r w:rsidR="00D64012" w:rsidRPr="003F18D2">
        <w:rPr>
          <w:rFonts w:hint="cs"/>
          <w:sz w:val="26"/>
          <w:szCs w:val="26"/>
          <w:rtl/>
        </w:rPr>
        <w:t>במרץ 2026</w:t>
      </w:r>
      <w:r w:rsidRPr="003F18D2">
        <w:rPr>
          <w:rFonts w:hint="cs"/>
          <w:sz w:val="26"/>
          <w:szCs w:val="26"/>
          <w:rtl/>
        </w:rPr>
        <w:t>)</w:t>
      </w:r>
      <w:r w:rsidRPr="003F18D2">
        <w:rPr>
          <w:sz w:val="26"/>
          <w:szCs w:val="26"/>
          <w:rtl/>
        </w:rPr>
        <w:t xml:space="preserve">. בהתאם לסעיף 9ג(א)(6) לאותו חוק, החליטה הממשלה באישור ועדת החוץ והבטחון של הכנסת, שניתן ביום </w:t>
      </w:r>
      <w:r w:rsidR="00D64012" w:rsidRPr="003F18D2">
        <w:rPr>
          <w:rFonts w:hint="cs"/>
          <w:sz w:val="26"/>
          <w:szCs w:val="26"/>
          <w:rtl/>
        </w:rPr>
        <w:t>י"ג</w:t>
      </w:r>
      <w:r w:rsidRPr="003F18D2">
        <w:rPr>
          <w:sz w:val="26"/>
          <w:szCs w:val="26"/>
          <w:rtl/>
        </w:rPr>
        <w:t xml:space="preserve"> ב</w:t>
      </w:r>
      <w:r w:rsidR="00D64012" w:rsidRPr="003F18D2">
        <w:rPr>
          <w:rFonts w:hint="cs"/>
          <w:sz w:val="26"/>
          <w:szCs w:val="26"/>
          <w:rtl/>
        </w:rPr>
        <w:t>אדר</w:t>
      </w:r>
      <w:r w:rsidRPr="003F18D2">
        <w:rPr>
          <w:sz w:val="26"/>
          <w:szCs w:val="26"/>
          <w:rtl/>
        </w:rPr>
        <w:t xml:space="preserve"> </w:t>
      </w:r>
      <w:proofErr w:type="spellStart"/>
      <w:r w:rsidRPr="003F18D2">
        <w:rPr>
          <w:sz w:val="26"/>
          <w:szCs w:val="26"/>
          <w:rtl/>
        </w:rPr>
        <w:t>התשפ</w:t>
      </w:r>
      <w:proofErr w:type="spellEnd"/>
      <w:r w:rsidRPr="003F18D2">
        <w:rPr>
          <w:sz w:val="26"/>
          <w:szCs w:val="26"/>
          <w:rtl/>
        </w:rPr>
        <w:t>"</w:t>
      </w:r>
      <w:r w:rsidR="00D64012" w:rsidRPr="003F18D2">
        <w:rPr>
          <w:rFonts w:hint="cs"/>
          <w:sz w:val="26"/>
          <w:szCs w:val="26"/>
          <w:rtl/>
        </w:rPr>
        <w:t>ו</w:t>
      </w:r>
      <w:r w:rsidRPr="003F18D2">
        <w:rPr>
          <w:sz w:val="26"/>
          <w:szCs w:val="26"/>
          <w:rtl/>
        </w:rPr>
        <w:t xml:space="preserve"> </w:t>
      </w:r>
      <w:r w:rsidR="00D64012" w:rsidRPr="003F18D2">
        <w:rPr>
          <w:rFonts w:hint="cs"/>
          <w:sz w:val="26"/>
          <w:szCs w:val="26"/>
          <w:rtl/>
        </w:rPr>
        <w:t>(2 במרץ 2026</w:t>
      </w:r>
      <w:r w:rsidRPr="003F18D2">
        <w:rPr>
          <w:sz w:val="26"/>
          <w:szCs w:val="26"/>
          <w:rtl/>
        </w:rPr>
        <w:t>), לאשר את ההכרזה בשטחה של כל מדינת ישראל.</w:t>
      </w:r>
    </w:p>
    <w:p w14:paraId="5810ED13" w14:textId="70E203AD" w:rsidR="0080376A" w:rsidRPr="003F18D2" w:rsidRDefault="001037FD" w:rsidP="0080376A">
      <w:pPr>
        <w:rPr>
          <w:sz w:val="26"/>
          <w:szCs w:val="26"/>
          <w:rtl/>
        </w:rPr>
      </w:pPr>
      <w:r w:rsidRPr="003F18D2">
        <w:rPr>
          <w:rFonts w:hint="cs"/>
          <w:sz w:val="26"/>
          <w:szCs w:val="26"/>
          <w:rtl/>
        </w:rPr>
        <w:t>ב</w:t>
      </w:r>
      <w:r w:rsidR="004E4189" w:rsidRPr="003F18D2">
        <w:rPr>
          <w:sz w:val="26"/>
          <w:szCs w:val="26"/>
          <w:rtl/>
        </w:rPr>
        <w:t xml:space="preserve">המשך לכך, ונוכח האיומים שנוצרו בעקבות היציאה למבצע, קבע פיקוד העורף הנחיות מחמירות בשטחי מדינת ישראל כולה, אשר כללו איסור על התקהלויות בשטח פתוח ומתן שירותים, איסור פעילות במקומות עבודה למעט משק חיוני ואיסור על פעילויות חינוכיות. </w:t>
      </w:r>
      <w:r w:rsidR="00586A98" w:rsidRPr="003F18D2">
        <w:rPr>
          <w:rFonts w:hint="cs"/>
          <w:sz w:val="26"/>
          <w:szCs w:val="26"/>
          <w:rtl/>
        </w:rPr>
        <w:t xml:space="preserve">בהמשך, עדכן פיקוד העורף את הנחיותיו אך הותיר מגבלות משמעותיות על התקהלויות ומתן שירותים וכן על מסגרות חינוך. </w:t>
      </w:r>
      <w:r w:rsidR="004E4189" w:rsidRPr="003F18D2">
        <w:rPr>
          <w:sz w:val="26"/>
          <w:szCs w:val="26"/>
          <w:rtl/>
        </w:rPr>
        <w:t xml:space="preserve">בשל הנחיות אלו, צומצמו השירותים והפעילות המסחרית במשק באופן משמעותי, </w:t>
      </w:r>
      <w:r w:rsidRPr="003F18D2">
        <w:rPr>
          <w:rFonts w:hint="cs"/>
          <w:sz w:val="26"/>
          <w:szCs w:val="26"/>
          <w:rtl/>
        </w:rPr>
        <w:t>והוגבלה הנגישות</w:t>
      </w:r>
      <w:r w:rsidR="004E4189" w:rsidRPr="003F18D2">
        <w:rPr>
          <w:sz w:val="26"/>
          <w:szCs w:val="26"/>
          <w:rtl/>
        </w:rPr>
        <w:t xml:space="preserve"> לאזורים שונים במדינת ישראל. </w:t>
      </w:r>
    </w:p>
    <w:p w14:paraId="61BAAC99" w14:textId="3F1D6CBD" w:rsidR="008008BE" w:rsidRPr="003F18D2" w:rsidRDefault="004E4189" w:rsidP="0080376A">
      <w:pPr>
        <w:rPr>
          <w:sz w:val="26"/>
          <w:szCs w:val="26"/>
          <w:rtl/>
        </w:rPr>
      </w:pPr>
      <w:r w:rsidRPr="003F18D2">
        <w:rPr>
          <w:sz w:val="26"/>
          <w:szCs w:val="26"/>
          <w:rtl/>
        </w:rPr>
        <w:t>הממשלה פועלת במגוון דרכים כדי לסייע לתושבים המושפעים מן הלחימה באופן ישיר ועקיף, ובין השאר, פועלת כדי לתת פיצוי לעובדים שנעדרו מעבודתם בשל המצב המיוחד.</w:t>
      </w:r>
    </w:p>
    <w:p w14:paraId="2D592C17" w14:textId="4C2BB65C" w:rsidR="004E4189" w:rsidRPr="003F18D2" w:rsidRDefault="004E4189" w:rsidP="0080376A">
      <w:pPr>
        <w:rPr>
          <w:sz w:val="26"/>
          <w:szCs w:val="26"/>
          <w:rtl/>
        </w:rPr>
      </w:pPr>
      <w:r w:rsidRPr="003F18D2">
        <w:rPr>
          <w:sz w:val="26"/>
          <w:szCs w:val="26"/>
          <w:rtl/>
        </w:rPr>
        <w:t>על רקע זה, ובדומה למתווה שניתן בתחילת מלחמת חרבות ברזל</w:t>
      </w:r>
      <w:r w:rsidR="0080376A" w:rsidRPr="003F18D2">
        <w:rPr>
          <w:rFonts w:hint="cs"/>
          <w:sz w:val="26"/>
          <w:szCs w:val="26"/>
          <w:rtl/>
        </w:rPr>
        <w:t xml:space="preserve"> ובמבצע "עם כלביא"</w:t>
      </w:r>
      <w:r w:rsidRPr="003F18D2">
        <w:rPr>
          <w:sz w:val="26"/>
          <w:szCs w:val="26"/>
          <w:rtl/>
        </w:rPr>
        <w:t xml:space="preserve">, מוצע לתקן את חוק הביטוח הלאומי [נוסח משולב], התשנ"ה-1995 (להלן - חוק הביטוח הלאומי), כך </w:t>
      </w:r>
      <w:r w:rsidR="00586A98" w:rsidRPr="003F18D2">
        <w:rPr>
          <w:rFonts w:hint="cs"/>
          <w:sz w:val="26"/>
          <w:szCs w:val="26"/>
          <w:rtl/>
        </w:rPr>
        <w:t>ש</w:t>
      </w:r>
      <w:r w:rsidRPr="003F18D2">
        <w:rPr>
          <w:sz w:val="26"/>
          <w:szCs w:val="26"/>
          <w:rtl/>
        </w:rPr>
        <w:t>יקבעו התאמות, לשם מתן הקלות והטבות בעניין זכאות לדמי אבטלה לעובדים שהוצאו לחופשה ללא תשלום בעקבות מבצע</w:t>
      </w:r>
      <w:r w:rsidR="0080376A" w:rsidRPr="003F18D2">
        <w:rPr>
          <w:rFonts w:hint="cs"/>
          <w:sz w:val="26"/>
          <w:szCs w:val="26"/>
          <w:rtl/>
        </w:rPr>
        <w:t xml:space="preserve"> "שאגת הארי"</w:t>
      </w:r>
      <w:r w:rsidRPr="003F18D2">
        <w:rPr>
          <w:sz w:val="26"/>
          <w:szCs w:val="26"/>
          <w:rtl/>
        </w:rPr>
        <w:t xml:space="preserve">. כן, מוצע לערוך תיקונים נוספים בחוק עבודת נשים, </w:t>
      </w:r>
      <w:proofErr w:type="spellStart"/>
      <w:r w:rsidRPr="003F18D2">
        <w:rPr>
          <w:sz w:val="26"/>
          <w:szCs w:val="26"/>
          <w:rtl/>
        </w:rPr>
        <w:t>התשי</w:t>
      </w:r>
      <w:proofErr w:type="spellEnd"/>
      <w:r w:rsidRPr="003F18D2">
        <w:rPr>
          <w:sz w:val="26"/>
          <w:szCs w:val="26"/>
          <w:rtl/>
        </w:rPr>
        <w:t>"ד–1954 (להלן - חוק עבודת נשים), ובחוק מענק מיוחד לבני 67 ומעלה (הוראת שעה – מקרים מיוחדים), התש"ף-2020.</w:t>
      </w:r>
    </w:p>
    <w:p w14:paraId="50FD426D" w14:textId="77777777" w:rsidR="004E4189" w:rsidRPr="0080376A" w:rsidRDefault="004E4189" w:rsidP="004E4189"/>
    <w:p w14:paraId="1EEA21CC" w14:textId="597D825F" w:rsidR="004E4189" w:rsidRDefault="004E4189" w:rsidP="00EC2DB0">
      <w:pPr>
        <w:pStyle w:val="4"/>
        <w:numPr>
          <w:ilvl w:val="0"/>
          <w:numId w:val="1"/>
        </w:numPr>
        <w:rPr>
          <w:rtl/>
        </w:rPr>
      </w:pPr>
      <w:bookmarkStart w:id="9" w:name="_Toc148529011"/>
      <w:bookmarkStart w:id="10" w:name="_Toc224817839"/>
      <w:r w:rsidRPr="00785B20">
        <w:rPr>
          <w:rtl/>
        </w:rPr>
        <w:t>השפעת</w:t>
      </w:r>
      <w:r w:rsidR="0080376A">
        <w:rPr>
          <w:rFonts w:hint="cs"/>
          <w:rtl/>
        </w:rPr>
        <w:t xml:space="preserve"> תזכיר</w:t>
      </w:r>
      <w:r w:rsidRPr="00785B20">
        <w:rPr>
          <w:rtl/>
        </w:rPr>
        <w:t xml:space="preserve"> החוק המוצע על החוק הקיים</w:t>
      </w:r>
      <w:bookmarkEnd w:id="9"/>
      <w:bookmarkEnd w:id="10"/>
    </w:p>
    <w:p w14:paraId="171F4C8E" w14:textId="77777777" w:rsidR="004E4189" w:rsidRDefault="004E4189" w:rsidP="004E4189">
      <w:pPr>
        <w:rPr>
          <w:rFonts w:ascii="Arial" w:eastAsia="Arial Unicode MS" w:hAnsi="Arial"/>
          <w:snapToGrid w:val="0"/>
          <w:sz w:val="20"/>
          <w:szCs w:val="26"/>
          <w:rtl/>
        </w:rPr>
      </w:pPr>
      <w:r>
        <w:rPr>
          <w:rFonts w:ascii="Arial" w:eastAsia="Arial Unicode MS" w:hAnsi="Arial" w:hint="cs"/>
          <w:snapToGrid w:val="0"/>
          <w:sz w:val="20"/>
          <w:szCs w:val="26"/>
          <w:rtl/>
        </w:rPr>
        <w:t>יתוקנו החוקים הבאים:</w:t>
      </w:r>
    </w:p>
    <w:p w14:paraId="33F3E950" w14:textId="77777777" w:rsidR="004E4189" w:rsidRPr="0080376A" w:rsidRDefault="004E4189" w:rsidP="00EC2DB0">
      <w:pPr>
        <w:pStyle w:val="af0"/>
        <w:numPr>
          <w:ilvl w:val="0"/>
          <w:numId w:val="4"/>
        </w:numPr>
        <w:rPr>
          <w:rFonts w:ascii="Arial" w:eastAsia="Arial Unicode MS" w:hAnsi="Arial" w:cs="David"/>
          <w:snapToGrid w:val="0"/>
          <w:sz w:val="20"/>
          <w:szCs w:val="26"/>
        </w:rPr>
      </w:pPr>
      <w:r w:rsidRPr="0080376A">
        <w:rPr>
          <w:rFonts w:ascii="Arial" w:eastAsia="Arial Unicode MS" w:hAnsi="Arial" w:cs="David" w:hint="cs"/>
          <w:snapToGrid w:val="0"/>
          <w:sz w:val="20"/>
          <w:szCs w:val="26"/>
          <w:rtl/>
        </w:rPr>
        <w:t>חוק הביטוח הלאומי [נוסח משולב], התשנ"ה-1995.</w:t>
      </w:r>
    </w:p>
    <w:p w14:paraId="2F4A644D" w14:textId="77777777" w:rsidR="004E4189" w:rsidRPr="0080376A" w:rsidRDefault="004E4189" w:rsidP="00EC2DB0">
      <w:pPr>
        <w:pStyle w:val="af0"/>
        <w:numPr>
          <w:ilvl w:val="0"/>
          <w:numId w:val="4"/>
        </w:numPr>
        <w:rPr>
          <w:rFonts w:ascii="Arial" w:eastAsia="Arial Unicode MS" w:hAnsi="Arial" w:cs="David"/>
          <w:snapToGrid w:val="0"/>
          <w:sz w:val="20"/>
          <w:szCs w:val="26"/>
          <w:rtl/>
        </w:rPr>
      </w:pPr>
      <w:r w:rsidRPr="0080376A">
        <w:rPr>
          <w:rFonts w:ascii="Arial" w:eastAsia="Arial Unicode MS" w:hAnsi="Arial" w:cs="David"/>
          <w:snapToGrid w:val="0"/>
          <w:sz w:val="20"/>
          <w:szCs w:val="26"/>
          <w:rtl/>
        </w:rPr>
        <w:t xml:space="preserve">חוק עבודת נשים, </w:t>
      </w:r>
      <w:proofErr w:type="spellStart"/>
      <w:r w:rsidRPr="0080376A">
        <w:rPr>
          <w:rFonts w:ascii="Arial" w:eastAsia="Arial Unicode MS" w:hAnsi="Arial" w:cs="David"/>
          <w:snapToGrid w:val="0"/>
          <w:sz w:val="20"/>
          <w:szCs w:val="26"/>
          <w:rtl/>
        </w:rPr>
        <w:t>התשי</w:t>
      </w:r>
      <w:proofErr w:type="spellEnd"/>
      <w:r w:rsidRPr="0080376A">
        <w:rPr>
          <w:rFonts w:ascii="Arial" w:eastAsia="Arial Unicode MS" w:hAnsi="Arial" w:cs="David"/>
          <w:snapToGrid w:val="0"/>
          <w:sz w:val="20"/>
          <w:szCs w:val="26"/>
          <w:rtl/>
        </w:rPr>
        <w:t>"ד–1954</w:t>
      </w:r>
      <w:r w:rsidRPr="0080376A">
        <w:rPr>
          <w:rFonts w:ascii="Arial" w:eastAsia="Arial Unicode MS" w:hAnsi="Arial" w:cs="David" w:hint="cs"/>
          <w:snapToGrid w:val="0"/>
          <w:sz w:val="20"/>
          <w:szCs w:val="26"/>
          <w:rtl/>
        </w:rPr>
        <w:t>;</w:t>
      </w:r>
    </w:p>
    <w:p w14:paraId="53F6A754" w14:textId="77777777" w:rsidR="004E4189" w:rsidRPr="0080376A" w:rsidRDefault="004E4189" w:rsidP="00EC2DB0">
      <w:pPr>
        <w:pStyle w:val="af0"/>
        <w:numPr>
          <w:ilvl w:val="0"/>
          <w:numId w:val="4"/>
        </w:numPr>
        <w:rPr>
          <w:rFonts w:ascii="Arial" w:eastAsia="Arial Unicode MS" w:hAnsi="Arial" w:cs="David"/>
          <w:snapToGrid w:val="0"/>
          <w:sz w:val="20"/>
          <w:szCs w:val="26"/>
          <w:rtl/>
        </w:rPr>
      </w:pPr>
      <w:r w:rsidRPr="0080376A">
        <w:rPr>
          <w:rFonts w:ascii="Arial" w:eastAsia="Arial Unicode MS" w:hAnsi="Arial" w:cs="David"/>
          <w:snapToGrid w:val="0"/>
          <w:sz w:val="20"/>
          <w:szCs w:val="26"/>
          <w:rtl/>
        </w:rPr>
        <w:t>חוק מענק מיוחד לבני 67 ומעלה (הוראת שעה – מקרים מיוחדים), התש"ף-2020</w:t>
      </w:r>
      <w:r w:rsidRPr="0080376A">
        <w:rPr>
          <w:rFonts w:ascii="Arial" w:eastAsia="Arial Unicode MS" w:hAnsi="Arial" w:cs="David" w:hint="cs"/>
          <w:snapToGrid w:val="0"/>
          <w:sz w:val="20"/>
          <w:szCs w:val="26"/>
          <w:rtl/>
        </w:rPr>
        <w:t>.</w:t>
      </w:r>
    </w:p>
    <w:p w14:paraId="387E14B0" w14:textId="77777777" w:rsidR="004E4189" w:rsidRPr="009A6C77" w:rsidRDefault="004E4189" w:rsidP="004E4189">
      <w:pPr>
        <w:rPr>
          <w:rFonts w:ascii="Arial" w:eastAsia="Arial Unicode MS" w:hAnsi="Arial"/>
          <w:snapToGrid w:val="0"/>
          <w:sz w:val="20"/>
          <w:szCs w:val="26"/>
          <w:rtl/>
        </w:rPr>
      </w:pPr>
    </w:p>
    <w:p w14:paraId="57EC6F3D" w14:textId="0B6E75CB" w:rsidR="004E4189" w:rsidRPr="00EC00C4" w:rsidRDefault="004E4189" w:rsidP="00EC2DB0">
      <w:pPr>
        <w:numPr>
          <w:ilvl w:val="0"/>
          <w:numId w:val="1"/>
        </w:numPr>
        <w:autoSpaceDE w:val="0"/>
        <w:autoSpaceDN w:val="0"/>
        <w:adjustRightInd w:val="0"/>
        <w:spacing w:before="40"/>
        <w:textAlignment w:val="center"/>
        <w:outlineLvl w:val="3"/>
        <w:rPr>
          <w:b/>
          <w:bCs/>
          <w:szCs w:val="28"/>
        </w:rPr>
      </w:pPr>
      <w:r w:rsidRPr="00EC00C4">
        <w:rPr>
          <w:rFonts w:hint="cs"/>
          <w:b/>
          <w:bCs/>
          <w:szCs w:val="28"/>
          <w:rtl/>
        </w:rPr>
        <w:lastRenderedPageBreak/>
        <w:t xml:space="preserve">השפעת </w:t>
      </w:r>
      <w:r w:rsidR="0080376A">
        <w:rPr>
          <w:rFonts w:hint="cs"/>
          <w:b/>
          <w:bCs/>
          <w:szCs w:val="28"/>
          <w:rtl/>
        </w:rPr>
        <w:t xml:space="preserve">תזכיר </w:t>
      </w:r>
      <w:r w:rsidRPr="00EC00C4">
        <w:rPr>
          <w:rFonts w:hint="cs"/>
          <w:b/>
          <w:bCs/>
          <w:szCs w:val="28"/>
          <w:rtl/>
        </w:rPr>
        <w:t>החוק המוצע על תקציב המדינה, על תקנים במשרדי הממשלה ועל ההיבט המנהלי</w:t>
      </w:r>
    </w:p>
    <w:p w14:paraId="4F3F6126" w14:textId="56D32463" w:rsidR="004E4189" w:rsidRPr="001613E7" w:rsidRDefault="00586A98" w:rsidP="001613E7">
      <w:pPr>
        <w:pStyle w:val="4"/>
        <w:numPr>
          <w:ilvl w:val="0"/>
          <w:numId w:val="0"/>
        </w:numPr>
        <w:rPr>
          <w:rFonts w:ascii="Arial" w:eastAsia="Arial Unicode MS" w:hAnsi="Arial"/>
          <w:b w:val="0"/>
          <w:bCs w:val="0"/>
          <w:snapToGrid w:val="0"/>
          <w:color w:val="auto"/>
          <w:sz w:val="20"/>
          <w:szCs w:val="26"/>
          <w:rtl/>
        </w:rPr>
      </w:pPr>
      <w:bookmarkStart w:id="11" w:name="_Toc224817840"/>
      <w:r w:rsidRPr="001613E7">
        <w:rPr>
          <w:rFonts w:ascii="Arial" w:eastAsia="Arial Unicode MS" w:hAnsi="Arial"/>
          <w:b w:val="0"/>
          <w:bCs w:val="0"/>
          <w:snapToGrid w:val="0"/>
          <w:color w:val="auto"/>
          <w:sz w:val="20"/>
          <w:szCs w:val="26"/>
          <w:rtl/>
        </w:rPr>
        <w:t>העלות התקציבית המוערכת היא 3</w:t>
      </w:r>
      <w:r>
        <w:rPr>
          <w:rFonts w:ascii="Arial" w:eastAsia="Arial Unicode MS" w:hAnsi="Arial" w:hint="cs"/>
          <w:b w:val="0"/>
          <w:bCs w:val="0"/>
          <w:snapToGrid w:val="0"/>
          <w:color w:val="auto"/>
          <w:sz w:val="20"/>
          <w:szCs w:val="26"/>
          <w:rtl/>
        </w:rPr>
        <w:t>0</w:t>
      </w:r>
      <w:r w:rsidRPr="001613E7">
        <w:rPr>
          <w:rFonts w:ascii="Arial" w:eastAsia="Arial Unicode MS" w:hAnsi="Arial"/>
          <w:b w:val="0"/>
          <w:bCs w:val="0"/>
          <w:snapToGrid w:val="0"/>
          <w:color w:val="auto"/>
          <w:sz w:val="20"/>
          <w:szCs w:val="26"/>
          <w:rtl/>
        </w:rPr>
        <w:t xml:space="preserve">0 מיליון ש"ח והיא תוקצה מתוך סכומים שיועדו </w:t>
      </w:r>
      <w:r w:rsidR="00904859">
        <w:rPr>
          <w:rFonts w:ascii="Arial" w:eastAsia="Arial Unicode MS" w:hAnsi="Arial" w:hint="cs"/>
          <w:b w:val="0"/>
          <w:bCs w:val="0"/>
          <w:snapToGrid w:val="0"/>
          <w:color w:val="auto"/>
          <w:sz w:val="20"/>
          <w:szCs w:val="26"/>
          <w:rtl/>
        </w:rPr>
        <w:t xml:space="preserve">לכך </w:t>
      </w:r>
      <w:r w:rsidR="00741CA8">
        <w:rPr>
          <w:rFonts w:ascii="Arial" w:eastAsia="Arial Unicode MS" w:hAnsi="Arial" w:hint="cs"/>
          <w:b w:val="0"/>
          <w:bCs w:val="0"/>
          <w:snapToGrid w:val="0"/>
          <w:color w:val="auto"/>
          <w:sz w:val="20"/>
          <w:szCs w:val="26"/>
          <w:rtl/>
        </w:rPr>
        <w:t xml:space="preserve">בסעיף 1(ד) </w:t>
      </w:r>
      <w:r w:rsidR="00904859">
        <w:rPr>
          <w:rFonts w:ascii="Arial" w:eastAsia="Arial Unicode MS" w:hAnsi="Arial" w:hint="cs"/>
          <w:b w:val="0"/>
          <w:bCs w:val="0"/>
          <w:snapToGrid w:val="0"/>
          <w:color w:val="auto"/>
          <w:sz w:val="20"/>
          <w:szCs w:val="26"/>
          <w:rtl/>
        </w:rPr>
        <w:t>בהחלטת ממשלה מס' 3970 מיום 10 במרץ 2026.</w:t>
      </w:r>
      <w:bookmarkEnd w:id="11"/>
      <w:r w:rsidR="00904859">
        <w:rPr>
          <w:rFonts w:ascii="Arial" w:eastAsia="Arial Unicode MS" w:hAnsi="Arial" w:hint="cs"/>
          <w:b w:val="0"/>
          <w:bCs w:val="0"/>
          <w:snapToGrid w:val="0"/>
          <w:color w:val="auto"/>
          <w:sz w:val="20"/>
          <w:szCs w:val="26"/>
          <w:rtl/>
        </w:rPr>
        <w:t xml:space="preserve"> </w:t>
      </w:r>
    </w:p>
    <w:p w14:paraId="4D7ED994" w14:textId="77777777" w:rsidR="004E4189" w:rsidRPr="00F93BA7" w:rsidRDefault="004E4189" w:rsidP="004E4189">
      <w:pPr>
        <w:rPr>
          <w:color w:val="000000" w:themeColor="text1"/>
          <w:rtl/>
        </w:rPr>
      </w:pPr>
    </w:p>
    <w:p w14:paraId="22483324" w14:textId="299C65F0" w:rsidR="004E4189" w:rsidRPr="00785B20" w:rsidRDefault="004E4189" w:rsidP="00EC2DB0">
      <w:pPr>
        <w:pStyle w:val="4"/>
        <w:numPr>
          <w:ilvl w:val="0"/>
          <w:numId w:val="1"/>
        </w:numPr>
        <w:rPr>
          <w:rtl/>
        </w:rPr>
      </w:pPr>
      <w:bookmarkStart w:id="12" w:name="_Toc148529014"/>
      <w:bookmarkStart w:id="13" w:name="_Toc224817841"/>
      <w:r>
        <w:rPr>
          <w:rtl/>
        </w:rPr>
        <w:t>להלן נוסח</w:t>
      </w:r>
      <w:r w:rsidR="0080376A">
        <w:rPr>
          <w:rFonts w:hint="cs"/>
          <w:rtl/>
        </w:rPr>
        <w:t xml:space="preserve"> תזכיר</w:t>
      </w:r>
      <w:r>
        <w:rPr>
          <w:rtl/>
        </w:rPr>
        <w:t xml:space="preserve"> </w:t>
      </w:r>
      <w:r w:rsidR="0080376A">
        <w:rPr>
          <w:rFonts w:hint="cs"/>
          <w:rtl/>
        </w:rPr>
        <w:t>ה</w:t>
      </w:r>
      <w:r w:rsidRPr="00785B20">
        <w:rPr>
          <w:rtl/>
        </w:rPr>
        <w:t>חוק המוצע</w:t>
      </w:r>
      <w:bookmarkEnd w:id="12"/>
      <w:bookmarkEnd w:id="13"/>
      <w:r w:rsidRPr="00785B20">
        <w:rPr>
          <w:rtl/>
        </w:rPr>
        <w:t xml:space="preserve"> </w:t>
      </w:r>
    </w:p>
    <w:p w14:paraId="46DEA074" w14:textId="77777777" w:rsidR="004E4189" w:rsidRDefault="004E4189" w:rsidP="004E4189">
      <w:pPr>
        <w:pStyle w:val="HeadMitparsemetBaze"/>
        <w:keepNext w:val="0"/>
        <w:keepLines w:val="0"/>
        <w:pageBreakBefore w:val="0"/>
        <w:rPr>
          <w:rFonts w:ascii="David" w:hAnsi="David"/>
          <w:rtl/>
        </w:rPr>
      </w:pPr>
      <w:r>
        <w:rPr>
          <w:rFonts w:ascii="David" w:hAnsi="David"/>
          <w:rtl/>
        </w:rPr>
        <w:br/>
      </w:r>
    </w:p>
    <w:p w14:paraId="33A2CC77" w14:textId="77777777" w:rsidR="0080376A" w:rsidRDefault="0080376A" w:rsidP="004E4189">
      <w:pPr>
        <w:pStyle w:val="HeadHatzaotHok"/>
        <w:keepNext w:val="0"/>
        <w:keepLines w:val="0"/>
        <w:rPr>
          <w:rtl/>
        </w:rPr>
      </w:pPr>
      <w:bookmarkStart w:id="14" w:name="_Toc503130994"/>
    </w:p>
    <w:p w14:paraId="6F1C6B8F" w14:textId="77777777" w:rsidR="0080376A" w:rsidRDefault="0080376A" w:rsidP="004E4189">
      <w:pPr>
        <w:pStyle w:val="HeadHatzaotHok"/>
        <w:keepNext w:val="0"/>
        <w:keepLines w:val="0"/>
        <w:rPr>
          <w:rtl/>
        </w:rPr>
      </w:pPr>
    </w:p>
    <w:p w14:paraId="1D5D83C4" w14:textId="77777777" w:rsidR="0080376A" w:rsidRDefault="0080376A" w:rsidP="004E4189">
      <w:pPr>
        <w:pStyle w:val="HeadHatzaotHok"/>
        <w:keepNext w:val="0"/>
        <w:keepLines w:val="0"/>
        <w:rPr>
          <w:rtl/>
        </w:rPr>
      </w:pPr>
    </w:p>
    <w:p w14:paraId="0FDC0BC1" w14:textId="77777777" w:rsidR="0080376A" w:rsidRDefault="0080376A" w:rsidP="004E4189">
      <w:pPr>
        <w:pStyle w:val="HeadHatzaotHok"/>
        <w:keepNext w:val="0"/>
        <w:keepLines w:val="0"/>
        <w:rPr>
          <w:rtl/>
        </w:rPr>
      </w:pPr>
    </w:p>
    <w:p w14:paraId="43837B3E" w14:textId="77777777" w:rsidR="0080376A" w:rsidRDefault="0080376A" w:rsidP="004E4189">
      <w:pPr>
        <w:pStyle w:val="HeadHatzaotHok"/>
        <w:keepNext w:val="0"/>
        <w:keepLines w:val="0"/>
        <w:rPr>
          <w:rtl/>
        </w:rPr>
      </w:pPr>
    </w:p>
    <w:p w14:paraId="15EFB84B" w14:textId="77777777" w:rsidR="0080376A" w:rsidRDefault="0080376A" w:rsidP="004E4189">
      <w:pPr>
        <w:pStyle w:val="HeadHatzaotHok"/>
        <w:keepNext w:val="0"/>
        <w:keepLines w:val="0"/>
        <w:rPr>
          <w:rtl/>
        </w:rPr>
      </w:pPr>
    </w:p>
    <w:p w14:paraId="7FC32DC2" w14:textId="77777777" w:rsidR="0080376A" w:rsidRDefault="0080376A" w:rsidP="004E4189">
      <w:pPr>
        <w:pStyle w:val="HeadHatzaotHok"/>
        <w:keepNext w:val="0"/>
        <w:keepLines w:val="0"/>
        <w:rPr>
          <w:rtl/>
        </w:rPr>
      </w:pPr>
    </w:p>
    <w:p w14:paraId="347B9969" w14:textId="77777777" w:rsidR="0080376A" w:rsidRDefault="0080376A" w:rsidP="004E4189">
      <w:pPr>
        <w:pStyle w:val="HeadHatzaotHok"/>
        <w:keepNext w:val="0"/>
        <w:keepLines w:val="0"/>
        <w:rPr>
          <w:rtl/>
        </w:rPr>
      </w:pPr>
    </w:p>
    <w:p w14:paraId="4A9C864B" w14:textId="77777777" w:rsidR="0080376A" w:rsidRDefault="0080376A" w:rsidP="004E4189">
      <w:pPr>
        <w:pStyle w:val="HeadHatzaotHok"/>
        <w:keepNext w:val="0"/>
        <w:keepLines w:val="0"/>
        <w:rPr>
          <w:rtl/>
        </w:rPr>
      </w:pPr>
    </w:p>
    <w:p w14:paraId="2491E8B8" w14:textId="77777777" w:rsidR="0080376A" w:rsidRDefault="0080376A" w:rsidP="004E4189">
      <w:pPr>
        <w:pStyle w:val="HeadHatzaotHok"/>
        <w:keepNext w:val="0"/>
        <w:keepLines w:val="0"/>
        <w:rPr>
          <w:rtl/>
        </w:rPr>
      </w:pPr>
    </w:p>
    <w:p w14:paraId="7A3AAE5B" w14:textId="77777777" w:rsidR="0080376A" w:rsidRDefault="0080376A" w:rsidP="004E4189">
      <w:pPr>
        <w:pStyle w:val="HeadHatzaotHok"/>
        <w:keepNext w:val="0"/>
        <w:keepLines w:val="0"/>
        <w:rPr>
          <w:rtl/>
        </w:rPr>
      </w:pPr>
    </w:p>
    <w:p w14:paraId="011A9826" w14:textId="77777777" w:rsidR="0080376A" w:rsidRDefault="0080376A" w:rsidP="004E4189">
      <w:pPr>
        <w:pStyle w:val="HeadHatzaotHok"/>
        <w:keepNext w:val="0"/>
        <w:keepLines w:val="0"/>
        <w:rPr>
          <w:rtl/>
        </w:rPr>
      </w:pPr>
    </w:p>
    <w:p w14:paraId="11A19E91" w14:textId="5F361595" w:rsidR="0080376A" w:rsidRDefault="0080376A" w:rsidP="004E4189">
      <w:pPr>
        <w:pStyle w:val="HeadHatzaotHok"/>
        <w:keepNext w:val="0"/>
        <w:keepLines w:val="0"/>
        <w:rPr>
          <w:rtl/>
        </w:rPr>
      </w:pPr>
    </w:p>
    <w:p w14:paraId="38E6D184" w14:textId="0A008D5F" w:rsidR="00E61350" w:rsidRDefault="00E61350" w:rsidP="004E4189">
      <w:pPr>
        <w:pStyle w:val="HeadHatzaotHok"/>
        <w:keepNext w:val="0"/>
        <w:keepLines w:val="0"/>
        <w:rPr>
          <w:rtl/>
        </w:rPr>
      </w:pPr>
    </w:p>
    <w:p w14:paraId="523C35E0" w14:textId="6AEBAD56" w:rsidR="00E61350" w:rsidRDefault="00E61350" w:rsidP="004E4189">
      <w:pPr>
        <w:pStyle w:val="HeadHatzaotHok"/>
        <w:keepNext w:val="0"/>
        <w:keepLines w:val="0"/>
        <w:rPr>
          <w:rtl/>
        </w:rPr>
      </w:pPr>
    </w:p>
    <w:p w14:paraId="6E65A9B6" w14:textId="4D2C937E" w:rsidR="00E61350" w:rsidRDefault="00E61350" w:rsidP="004E4189">
      <w:pPr>
        <w:pStyle w:val="HeadHatzaotHok"/>
        <w:keepNext w:val="0"/>
        <w:keepLines w:val="0"/>
        <w:rPr>
          <w:rtl/>
        </w:rPr>
      </w:pPr>
    </w:p>
    <w:p w14:paraId="422323A9" w14:textId="591BF0E5" w:rsidR="00E61350" w:rsidRDefault="00E61350" w:rsidP="004E4189">
      <w:pPr>
        <w:pStyle w:val="HeadHatzaotHok"/>
        <w:keepNext w:val="0"/>
        <w:keepLines w:val="0"/>
        <w:rPr>
          <w:rtl/>
        </w:rPr>
      </w:pPr>
    </w:p>
    <w:p w14:paraId="1FF56D9D" w14:textId="257AF382" w:rsidR="00E61350" w:rsidRDefault="00E61350" w:rsidP="004E4189">
      <w:pPr>
        <w:pStyle w:val="HeadHatzaotHok"/>
        <w:keepNext w:val="0"/>
        <w:keepLines w:val="0"/>
        <w:rPr>
          <w:rtl/>
        </w:rPr>
      </w:pPr>
    </w:p>
    <w:p w14:paraId="78DC8309" w14:textId="3E9BF50B" w:rsidR="00E61350" w:rsidRDefault="00E61350" w:rsidP="004E4189">
      <w:pPr>
        <w:pStyle w:val="HeadHatzaotHok"/>
        <w:keepNext w:val="0"/>
        <w:keepLines w:val="0"/>
        <w:rPr>
          <w:rtl/>
        </w:rPr>
      </w:pPr>
    </w:p>
    <w:p w14:paraId="00147BBF" w14:textId="2CDBEC36" w:rsidR="00E61350" w:rsidRDefault="00E61350" w:rsidP="004E4189">
      <w:pPr>
        <w:pStyle w:val="HeadHatzaotHok"/>
        <w:keepNext w:val="0"/>
        <w:keepLines w:val="0"/>
        <w:rPr>
          <w:rtl/>
        </w:rPr>
      </w:pPr>
    </w:p>
    <w:p w14:paraId="0C019256" w14:textId="3357AFA1" w:rsidR="00E61350" w:rsidRDefault="00E61350" w:rsidP="004E4189">
      <w:pPr>
        <w:pStyle w:val="HeadHatzaotHok"/>
        <w:keepNext w:val="0"/>
        <w:keepLines w:val="0"/>
        <w:rPr>
          <w:rtl/>
        </w:rPr>
      </w:pPr>
    </w:p>
    <w:p w14:paraId="45F98AC8" w14:textId="114DE596" w:rsidR="00E61350" w:rsidRDefault="00E61350" w:rsidP="004E4189">
      <w:pPr>
        <w:pStyle w:val="HeadHatzaotHok"/>
        <w:keepNext w:val="0"/>
        <w:keepLines w:val="0"/>
        <w:rPr>
          <w:rtl/>
        </w:rPr>
      </w:pPr>
    </w:p>
    <w:p w14:paraId="746D778B" w14:textId="268FF759" w:rsidR="00E61350" w:rsidRDefault="00E61350" w:rsidP="004E4189">
      <w:pPr>
        <w:pStyle w:val="HeadHatzaotHok"/>
        <w:keepNext w:val="0"/>
        <w:keepLines w:val="0"/>
        <w:rPr>
          <w:rtl/>
        </w:rPr>
      </w:pPr>
    </w:p>
    <w:p w14:paraId="7962C710" w14:textId="77777777" w:rsidR="00FA23AD" w:rsidRDefault="00FA23AD" w:rsidP="004E4189">
      <w:pPr>
        <w:pStyle w:val="HeadHatzaotHok"/>
        <w:keepNext w:val="0"/>
        <w:keepLines w:val="0"/>
        <w:rPr>
          <w:rtl/>
        </w:rPr>
      </w:pPr>
    </w:p>
    <w:p w14:paraId="38DD9F5C" w14:textId="77777777" w:rsidR="001F22C2" w:rsidRDefault="001F22C2" w:rsidP="004E4189">
      <w:pPr>
        <w:pStyle w:val="HeadHatzaotHok"/>
        <w:keepNext w:val="0"/>
        <w:keepLines w:val="0"/>
        <w:rPr>
          <w:rtl/>
        </w:rPr>
      </w:pPr>
      <w:bookmarkStart w:id="15" w:name="_Toc224817816"/>
      <w:bookmarkStart w:id="16" w:name="_Toc224817842"/>
    </w:p>
    <w:p w14:paraId="52AAA00E" w14:textId="3897F6A3" w:rsidR="004E4189" w:rsidRDefault="0080376A" w:rsidP="004E4189">
      <w:pPr>
        <w:pStyle w:val="HeadHatzaotHok"/>
        <w:keepNext w:val="0"/>
        <w:keepLines w:val="0"/>
        <w:rPr>
          <w:rtl/>
        </w:rPr>
      </w:pPr>
      <w:r>
        <w:rPr>
          <w:rFonts w:hint="cs"/>
          <w:rtl/>
        </w:rPr>
        <w:lastRenderedPageBreak/>
        <w:t xml:space="preserve">תזכיר </w:t>
      </w:r>
      <w:r w:rsidR="004E4189">
        <w:rPr>
          <w:rtl/>
        </w:rPr>
        <w:t>חוק</w:t>
      </w:r>
      <w:r w:rsidR="004E4189">
        <w:rPr>
          <w:rFonts w:hint="cs"/>
          <w:rtl/>
        </w:rPr>
        <w:t xml:space="preserve"> </w:t>
      </w:r>
      <w:r w:rsidR="004E4189" w:rsidRPr="00073E20">
        <w:rPr>
          <w:rtl/>
        </w:rPr>
        <w:t xml:space="preserve">התוכנית לסיוע כלכלי (הוראת שעה – </w:t>
      </w:r>
      <w:r>
        <w:rPr>
          <w:rFonts w:hint="cs"/>
          <w:rtl/>
        </w:rPr>
        <w:t>שאגת הארי</w:t>
      </w:r>
      <w:r w:rsidR="004E4189" w:rsidRPr="00073E20">
        <w:rPr>
          <w:rtl/>
        </w:rPr>
        <w:t xml:space="preserve">), </w:t>
      </w:r>
      <w:proofErr w:type="spellStart"/>
      <w:r w:rsidR="004E4189" w:rsidRPr="00073E20">
        <w:rPr>
          <w:rtl/>
        </w:rPr>
        <w:t>התשפ</w:t>
      </w:r>
      <w:proofErr w:type="spellEnd"/>
      <w:r w:rsidR="004E4189" w:rsidRPr="00073E20">
        <w:rPr>
          <w:rtl/>
        </w:rPr>
        <w:t>"</w:t>
      </w:r>
      <w:r>
        <w:rPr>
          <w:rFonts w:hint="cs"/>
          <w:rtl/>
        </w:rPr>
        <w:t>ו</w:t>
      </w:r>
      <w:r w:rsidR="004E4189" w:rsidRPr="00073E20">
        <w:rPr>
          <w:rtl/>
        </w:rPr>
        <w:t>–202</w:t>
      </w:r>
      <w:bookmarkEnd w:id="14"/>
      <w:r>
        <w:rPr>
          <w:rFonts w:hint="cs"/>
          <w:rtl/>
        </w:rPr>
        <w:t>6</w:t>
      </w:r>
      <w:bookmarkEnd w:id="15"/>
      <w:bookmarkEnd w:id="16"/>
    </w:p>
    <w:p w14:paraId="4252CBAF" w14:textId="1E7B3972" w:rsidR="0080376A" w:rsidRDefault="0080376A" w:rsidP="0080376A">
      <w:pPr>
        <w:pStyle w:val="HeadHatzaotHok"/>
        <w:keepNext w:val="0"/>
        <w:keepLines w:val="0"/>
        <w:rPr>
          <w:rtl/>
        </w:rPr>
      </w:pPr>
    </w:p>
    <w:tbl>
      <w:tblPr>
        <w:bidiVisual/>
        <w:tblW w:w="9661" w:type="dxa"/>
        <w:tblLayout w:type="fixed"/>
        <w:tblCellMar>
          <w:top w:w="57" w:type="dxa"/>
          <w:left w:w="0" w:type="dxa"/>
          <w:bottom w:w="57" w:type="dxa"/>
          <w:right w:w="0" w:type="dxa"/>
        </w:tblCellMar>
        <w:tblLook w:val="01E0" w:firstRow="1" w:lastRow="1" w:firstColumn="1" w:lastColumn="1" w:noHBand="0" w:noVBand="0"/>
      </w:tblPr>
      <w:tblGrid>
        <w:gridCol w:w="1583"/>
        <w:gridCol w:w="283"/>
        <w:gridCol w:w="1131"/>
        <w:gridCol w:w="709"/>
        <w:gridCol w:w="555"/>
        <w:gridCol w:w="25"/>
        <w:gridCol w:w="107"/>
        <w:gridCol w:w="598"/>
        <w:gridCol w:w="25"/>
        <w:gridCol w:w="623"/>
        <w:gridCol w:w="3997"/>
        <w:gridCol w:w="25"/>
      </w:tblGrid>
      <w:tr w:rsidR="001908BB" w:rsidRPr="00D04B16" w14:paraId="48D9C7F4" w14:textId="77777777" w:rsidTr="00FE12E5">
        <w:trPr>
          <w:gridAfter w:val="1"/>
          <w:wAfter w:w="25" w:type="dxa"/>
          <w:cantSplit/>
        </w:trPr>
        <w:tc>
          <w:tcPr>
            <w:tcW w:w="1583" w:type="dxa"/>
            <w:tcMar>
              <w:top w:w="91" w:type="dxa"/>
              <w:left w:w="0" w:type="dxa"/>
              <w:bottom w:w="91" w:type="dxa"/>
              <w:right w:w="0" w:type="dxa"/>
            </w:tcMar>
            <w:hideMark/>
          </w:tcPr>
          <w:p w14:paraId="154A872A" w14:textId="1FA53C4C" w:rsidR="001908BB" w:rsidRPr="00D04B16" w:rsidRDefault="001908BB" w:rsidP="0039028E">
            <w:pPr>
              <w:pStyle w:val="TableSideHeading"/>
              <w:rPr>
                <w:rFonts w:ascii="David" w:hAnsi="David"/>
                <w:sz w:val="26"/>
                <w:rtl/>
              </w:rPr>
            </w:pPr>
            <w:bookmarkStart w:id="17" w:name="_Toc201873210"/>
            <w:bookmarkStart w:id="18" w:name="_Toc201873239"/>
            <w:bookmarkStart w:id="19" w:name="_Toc224817817"/>
            <w:bookmarkStart w:id="20" w:name="_Toc224817843"/>
            <w:r w:rsidRPr="00D04B16">
              <w:rPr>
                <w:rFonts w:ascii="David" w:hAnsi="David"/>
                <w:sz w:val="26"/>
                <w:rtl/>
              </w:rPr>
              <w:t>תיקון חוק הביטוח הלאומי – הוראת שעה</w:t>
            </w:r>
            <w:bookmarkEnd w:id="17"/>
            <w:bookmarkEnd w:id="18"/>
            <w:bookmarkEnd w:id="19"/>
            <w:bookmarkEnd w:id="20"/>
          </w:p>
        </w:tc>
        <w:tc>
          <w:tcPr>
            <w:tcW w:w="283" w:type="dxa"/>
            <w:tcMar>
              <w:top w:w="91" w:type="dxa"/>
              <w:left w:w="0" w:type="dxa"/>
              <w:bottom w:w="91" w:type="dxa"/>
              <w:right w:w="0" w:type="dxa"/>
            </w:tcMar>
            <w:hideMark/>
          </w:tcPr>
          <w:p w14:paraId="67300AC8" w14:textId="52F26C3C" w:rsidR="001908BB" w:rsidRPr="00D04B16" w:rsidRDefault="001908BB" w:rsidP="00EC2DB0">
            <w:pPr>
              <w:pStyle w:val="TableText"/>
              <w:numPr>
                <w:ilvl w:val="0"/>
                <w:numId w:val="13"/>
              </w:numPr>
              <w:rPr>
                <w:rFonts w:ascii="David" w:hAnsi="David"/>
                <w:sz w:val="26"/>
                <w:rtl/>
              </w:rPr>
            </w:pPr>
          </w:p>
        </w:tc>
        <w:tc>
          <w:tcPr>
            <w:tcW w:w="7770" w:type="dxa"/>
            <w:gridSpan w:val="9"/>
            <w:tcMar>
              <w:top w:w="91" w:type="dxa"/>
              <w:left w:w="0" w:type="dxa"/>
              <w:bottom w:w="91" w:type="dxa"/>
              <w:right w:w="0" w:type="dxa"/>
            </w:tcMar>
            <w:hideMark/>
          </w:tcPr>
          <w:p w14:paraId="64EDFF87" w14:textId="0C1B5C05" w:rsidR="001908BB" w:rsidRPr="00E625C7" w:rsidRDefault="001908BB" w:rsidP="001908BB">
            <w:pPr>
              <w:widowControl/>
              <w:ind w:left="0"/>
              <w:contextualSpacing w:val="0"/>
              <w:rPr>
                <w:rFonts w:eastAsia="Arial Unicode MS"/>
                <w:snapToGrid w:val="0"/>
                <w:sz w:val="26"/>
                <w:szCs w:val="26"/>
              </w:rPr>
            </w:pPr>
            <w:r w:rsidRPr="00E625C7">
              <w:rPr>
                <w:rFonts w:eastAsia="Arial Unicode MS"/>
                <w:snapToGrid w:val="0"/>
                <w:sz w:val="26"/>
                <w:szCs w:val="26"/>
                <w:rtl/>
              </w:rPr>
              <w:t xml:space="preserve">בתקופה שמיום פרסומו של חוק זה עד יום כ"א באדר </w:t>
            </w:r>
            <w:proofErr w:type="spellStart"/>
            <w:r w:rsidRPr="00E625C7">
              <w:rPr>
                <w:rFonts w:eastAsia="Arial Unicode MS"/>
                <w:snapToGrid w:val="0"/>
                <w:sz w:val="26"/>
                <w:szCs w:val="26"/>
                <w:rtl/>
              </w:rPr>
              <w:t>התשפ</w:t>
            </w:r>
            <w:proofErr w:type="spellEnd"/>
            <w:r w:rsidRPr="00E625C7">
              <w:rPr>
                <w:rFonts w:eastAsia="Arial Unicode MS"/>
                <w:snapToGrid w:val="0"/>
                <w:sz w:val="26"/>
                <w:szCs w:val="26"/>
                <w:rtl/>
              </w:rPr>
              <w:t>"ז (28 בפברואר 2027) (בסעיף זה ובסעיף</w:t>
            </w:r>
            <w:r>
              <w:rPr>
                <w:rFonts w:eastAsia="Arial Unicode MS" w:hint="cs"/>
                <w:snapToGrid w:val="0"/>
                <w:sz w:val="26"/>
                <w:szCs w:val="26"/>
                <w:rtl/>
              </w:rPr>
              <w:t xml:space="preserve"> </w:t>
            </w:r>
            <w:r w:rsidR="0039028E">
              <w:rPr>
                <w:rFonts w:eastAsia="Arial Unicode MS" w:hint="cs"/>
                <w:snapToGrid w:val="0"/>
                <w:sz w:val="26"/>
                <w:szCs w:val="26"/>
                <w:rtl/>
              </w:rPr>
              <w:t xml:space="preserve">6 </w:t>
            </w:r>
            <w:r w:rsidRPr="00E625C7">
              <w:rPr>
                <w:rFonts w:eastAsia="Arial Unicode MS"/>
                <w:snapToGrid w:val="0"/>
                <w:sz w:val="26"/>
                <w:szCs w:val="26"/>
                <w:rtl/>
              </w:rPr>
              <w:t>– תקופת הוראת השעה), יקראו את חוק הביטוח הלאומי [נוסח משולב], התשנ"ה–</w:t>
            </w:r>
            <w:r w:rsidR="00D94654">
              <w:rPr>
                <w:rFonts w:eastAsia="Arial Unicode MS" w:hint="cs"/>
                <w:snapToGrid w:val="0"/>
                <w:sz w:val="26"/>
                <w:szCs w:val="26"/>
                <w:rtl/>
              </w:rPr>
              <w:t>1995</w:t>
            </w:r>
            <w:r w:rsidR="00D94654">
              <w:rPr>
                <w:rStyle w:val="a8"/>
                <w:rFonts w:eastAsia="Arial Unicode MS"/>
                <w:snapToGrid w:val="0"/>
                <w:sz w:val="26"/>
                <w:szCs w:val="26"/>
                <w:rtl/>
              </w:rPr>
              <w:footnoteReference w:id="1"/>
            </w:r>
            <w:r w:rsidRPr="00E625C7">
              <w:rPr>
                <w:rFonts w:eastAsia="Arial Unicode MS"/>
                <w:snapToGrid w:val="0"/>
                <w:sz w:val="26"/>
                <w:szCs w:val="26"/>
                <w:rtl/>
              </w:rPr>
              <w:t xml:space="preserve"> (להלן – חוק הביטוח הלאומי), כך</w:t>
            </w:r>
            <w:r>
              <w:rPr>
                <w:rFonts w:eastAsia="Arial Unicode MS" w:hint="cs"/>
                <w:snapToGrid w:val="0"/>
                <w:sz w:val="26"/>
                <w:szCs w:val="26"/>
                <w:rtl/>
              </w:rPr>
              <w:t>:</w:t>
            </w:r>
            <w:r w:rsidRPr="00E625C7">
              <w:rPr>
                <w:rFonts w:eastAsia="Arial Unicode MS"/>
                <w:snapToGrid w:val="0"/>
                <w:sz w:val="26"/>
                <w:szCs w:val="26"/>
                <w:rtl/>
              </w:rPr>
              <w:t xml:space="preserve"> </w:t>
            </w:r>
          </w:p>
          <w:p w14:paraId="391A8129" w14:textId="177ECBF1" w:rsidR="001908BB" w:rsidRPr="00E625C7" w:rsidRDefault="001908BB" w:rsidP="001908BB">
            <w:pPr>
              <w:pStyle w:val="TableBlock"/>
              <w:rPr>
                <w:rFonts w:ascii="David" w:hAnsi="David"/>
                <w:sz w:val="26"/>
                <w:rtl/>
              </w:rPr>
            </w:pPr>
          </w:p>
        </w:tc>
      </w:tr>
      <w:tr w:rsidR="001908BB" w:rsidRPr="00D04B16" w14:paraId="23FAC80F" w14:textId="77777777" w:rsidTr="00FE12E5">
        <w:tblPrEx>
          <w:tblLook w:val="0000" w:firstRow="0" w:lastRow="0" w:firstColumn="0" w:lastColumn="0" w:noHBand="0" w:noVBand="0"/>
        </w:tblPrEx>
        <w:trPr>
          <w:gridAfter w:val="1"/>
          <w:wAfter w:w="25" w:type="dxa"/>
          <w:cantSplit/>
        </w:trPr>
        <w:tc>
          <w:tcPr>
            <w:tcW w:w="1583" w:type="dxa"/>
            <w:tcMar>
              <w:top w:w="91" w:type="dxa"/>
              <w:left w:w="0" w:type="dxa"/>
              <w:bottom w:w="91" w:type="dxa"/>
              <w:right w:w="0" w:type="dxa"/>
            </w:tcMar>
          </w:tcPr>
          <w:p w14:paraId="40A4583B" w14:textId="77777777" w:rsidR="001908BB" w:rsidRPr="00D04B16" w:rsidRDefault="001908BB" w:rsidP="001908BB">
            <w:pPr>
              <w:pStyle w:val="TableSideHeading"/>
              <w:outlineLvl w:val="9"/>
              <w:rPr>
                <w:rFonts w:ascii="David" w:hAnsi="David"/>
                <w:sz w:val="26"/>
                <w:rtl/>
              </w:rPr>
            </w:pPr>
          </w:p>
        </w:tc>
        <w:tc>
          <w:tcPr>
            <w:tcW w:w="283" w:type="dxa"/>
            <w:tcMar>
              <w:top w:w="91" w:type="dxa"/>
              <w:left w:w="0" w:type="dxa"/>
              <w:bottom w:w="91" w:type="dxa"/>
              <w:right w:w="0" w:type="dxa"/>
            </w:tcMar>
          </w:tcPr>
          <w:p w14:paraId="7BD9ADEA" w14:textId="77777777" w:rsidR="001908BB" w:rsidRPr="00D04B16" w:rsidRDefault="001908BB" w:rsidP="001908BB">
            <w:pPr>
              <w:pStyle w:val="TableText"/>
              <w:jc w:val="both"/>
              <w:rPr>
                <w:rFonts w:ascii="David" w:hAnsi="David"/>
                <w:sz w:val="26"/>
                <w:rtl/>
              </w:rPr>
            </w:pPr>
          </w:p>
        </w:tc>
        <w:tc>
          <w:tcPr>
            <w:tcW w:w="7770" w:type="dxa"/>
            <w:gridSpan w:val="9"/>
            <w:tcMar>
              <w:top w:w="91" w:type="dxa"/>
              <w:left w:w="0" w:type="dxa"/>
              <w:bottom w:w="91" w:type="dxa"/>
              <w:right w:w="0" w:type="dxa"/>
            </w:tcMar>
          </w:tcPr>
          <w:p w14:paraId="68F1EC15" w14:textId="33EC2FE7" w:rsidR="001908BB" w:rsidRPr="00D04B16" w:rsidRDefault="001908BB" w:rsidP="001908BB">
            <w:pPr>
              <w:pStyle w:val="TableBlock"/>
              <w:rPr>
                <w:rFonts w:ascii="David" w:hAnsi="David"/>
                <w:sz w:val="26"/>
                <w:rtl/>
              </w:rPr>
            </w:pPr>
            <w:r w:rsidRPr="00D04B16">
              <w:rPr>
                <w:rFonts w:ascii="David" w:hAnsi="David"/>
                <w:sz w:val="26"/>
                <w:rtl/>
              </w:rPr>
              <w:t>(</w:t>
            </w:r>
            <w:r>
              <w:rPr>
                <w:rFonts w:ascii="David" w:hAnsi="David" w:hint="cs"/>
                <w:sz w:val="26"/>
                <w:rtl/>
              </w:rPr>
              <w:t>1</w:t>
            </w:r>
            <w:r w:rsidRPr="00D04B16">
              <w:rPr>
                <w:rFonts w:ascii="David" w:hAnsi="David"/>
                <w:sz w:val="26"/>
                <w:rtl/>
              </w:rPr>
              <w:t>)</w:t>
            </w:r>
            <w:r w:rsidRPr="00D04B16">
              <w:rPr>
                <w:rFonts w:ascii="David" w:hAnsi="David"/>
                <w:sz w:val="26"/>
                <w:rtl/>
              </w:rPr>
              <w:tab/>
              <w:t>לפני כותרת פרק ח' יבוא:</w:t>
            </w:r>
          </w:p>
        </w:tc>
      </w:tr>
      <w:tr w:rsidR="001908BB" w:rsidRPr="00D04B16" w14:paraId="2601F9A9" w14:textId="77777777" w:rsidTr="00FE12E5">
        <w:tblPrEx>
          <w:tblLook w:val="0000" w:firstRow="0" w:lastRow="0" w:firstColumn="0" w:lastColumn="0" w:noHBand="0" w:noVBand="0"/>
        </w:tblPrEx>
        <w:trPr>
          <w:gridAfter w:val="1"/>
          <w:wAfter w:w="25" w:type="dxa"/>
          <w:cantSplit/>
        </w:trPr>
        <w:tc>
          <w:tcPr>
            <w:tcW w:w="1583" w:type="dxa"/>
            <w:tcMar>
              <w:top w:w="91" w:type="dxa"/>
              <w:left w:w="0" w:type="dxa"/>
              <w:bottom w:w="91" w:type="dxa"/>
              <w:right w:w="0" w:type="dxa"/>
            </w:tcMar>
          </w:tcPr>
          <w:p w14:paraId="66D9A689" w14:textId="77777777" w:rsidR="001908BB" w:rsidRPr="00D04B16" w:rsidRDefault="001908BB" w:rsidP="001908BB">
            <w:pPr>
              <w:pStyle w:val="TableSideHeading"/>
              <w:outlineLvl w:val="9"/>
              <w:rPr>
                <w:rFonts w:ascii="David" w:hAnsi="David"/>
                <w:sz w:val="26"/>
                <w:rtl/>
              </w:rPr>
            </w:pPr>
          </w:p>
        </w:tc>
        <w:tc>
          <w:tcPr>
            <w:tcW w:w="283" w:type="dxa"/>
            <w:tcMar>
              <w:top w:w="91" w:type="dxa"/>
              <w:left w:w="0" w:type="dxa"/>
              <w:bottom w:w="91" w:type="dxa"/>
              <w:right w:w="0" w:type="dxa"/>
            </w:tcMar>
          </w:tcPr>
          <w:p w14:paraId="46D6D3B9" w14:textId="77777777" w:rsidR="001908BB" w:rsidRPr="00D04B16" w:rsidRDefault="001908BB" w:rsidP="001908BB">
            <w:pPr>
              <w:pStyle w:val="TableText"/>
              <w:jc w:val="both"/>
              <w:rPr>
                <w:rFonts w:ascii="David" w:hAnsi="David"/>
                <w:sz w:val="26"/>
                <w:rtl/>
              </w:rPr>
            </w:pPr>
          </w:p>
        </w:tc>
        <w:tc>
          <w:tcPr>
            <w:tcW w:w="7770" w:type="dxa"/>
            <w:gridSpan w:val="9"/>
            <w:tcMar>
              <w:top w:w="91" w:type="dxa"/>
              <w:left w:w="0" w:type="dxa"/>
              <w:bottom w:w="91" w:type="dxa"/>
              <w:right w:w="0" w:type="dxa"/>
            </w:tcMar>
          </w:tcPr>
          <w:p w14:paraId="3A854702" w14:textId="2C4CAB8B" w:rsidR="001908BB" w:rsidRPr="00D04B16" w:rsidRDefault="001908BB" w:rsidP="001908BB">
            <w:pPr>
              <w:pStyle w:val="TableHead"/>
              <w:outlineLvl w:val="9"/>
              <w:rPr>
                <w:rtl/>
              </w:rPr>
            </w:pPr>
            <w:bookmarkStart w:id="21" w:name="_Toc224817844"/>
            <w:bookmarkStart w:id="22" w:name="_Toc201873240"/>
            <w:r w:rsidRPr="00D04B16">
              <w:rPr>
                <w:rtl/>
              </w:rPr>
              <w:t xml:space="preserve">"סימן </w:t>
            </w:r>
            <w:r>
              <w:rPr>
                <w:rFonts w:hint="cs"/>
                <w:rtl/>
              </w:rPr>
              <w:t>ט</w:t>
            </w:r>
            <w:r w:rsidRPr="00D04B16">
              <w:rPr>
                <w:rtl/>
              </w:rPr>
              <w:t>': הוראות מיוחדות לעניין ביטוח אבטלה</w:t>
            </w:r>
            <w:r w:rsidRPr="00D04B16">
              <w:rPr>
                <w:rFonts w:hint="cs"/>
                <w:rtl/>
              </w:rPr>
              <w:t xml:space="preserve">  - תקופת הלחימה </w:t>
            </w:r>
            <w:r>
              <w:rPr>
                <w:rtl/>
              </w:rPr>
              <w:t>–</w:t>
            </w:r>
            <w:r w:rsidRPr="00D04B16">
              <w:rPr>
                <w:rFonts w:hint="cs"/>
                <w:rtl/>
              </w:rPr>
              <w:t xml:space="preserve"> </w:t>
            </w:r>
            <w:r>
              <w:rPr>
                <w:rFonts w:hint="cs"/>
                <w:rtl/>
              </w:rPr>
              <w:t>מבצע שאגת הארי 2026</w:t>
            </w:r>
            <w:bookmarkEnd w:id="21"/>
            <w:r w:rsidRPr="00D04B16">
              <w:rPr>
                <w:rFonts w:hint="cs"/>
                <w:rtl/>
              </w:rPr>
              <w:t xml:space="preserve"> </w:t>
            </w:r>
            <w:bookmarkEnd w:id="22"/>
          </w:p>
        </w:tc>
      </w:tr>
      <w:tr w:rsidR="001908BB" w:rsidRPr="00D04B16" w14:paraId="6F5F8016" w14:textId="77777777" w:rsidTr="00FE12E5">
        <w:tblPrEx>
          <w:tblLook w:val="0000" w:firstRow="0" w:lastRow="0" w:firstColumn="0" w:lastColumn="0" w:noHBand="0" w:noVBand="0"/>
        </w:tblPrEx>
        <w:trPr>
          <w:gridAfter w:val="1"/>
          <w:wAfter w:w="25" w:type="dxa"/>
          <w:cantSplit/>
        </w:trPr>
        <w:tc>
          <w:tcPr>
            <w:tcW w:w="1583" w:type="dxa"/>
            <w:tcMar>
              <w:top w:w="91" w:type="dxa"/>
              <w:left w:w="0" w:type="dxa"/>
              <w:bottom w:w="91" w:type="dxa"/>
              <w:right w:w="0" w:type="dxa"/>
            </w:tcMar>
          </w:tcPr>
          <w:p w14:paraId="34D38B62" w14:textId="77777777" w:rsidR="001908BB" w:rsidRPr="00D04B16" w:rsidRDefault="001908BB" w:rsidP="001908BB">
            <w:pPr>
              <w:pStyle w:val="TableSideHeading"/>
              <w:outlineLvl w:val="9"/>
              <w:rPr>
                <w:rFonts w:ascii="David" w:hAnsi="David"/>
                <w:sz w:val="26"/>
                <w:rtl/>
              </w:rPr>
            </w:pPr>
          </w:p>
        </w:tc>
        <w:tc>
          <w:tcPr>
            <w:tcW w:w="283" w:type="dxa"/>
            <w:tcMar>
              <w:top w:w="91" w:type="dxa"/>
              <w:left w:w="0" w:type="dxa"/>
              <w:bottom w:w="91" w:type="dxa"/>
              <w:right w:w="0" w:type="dxa"/>
            </w:tcMar>
          </w:tcPr>
          <w:p w14:paraId="3296F0EA" w14:textId="77777777" w:rsidR="001908BB" w:rsidRPr="00D04B16" w:rsidRDefault="001908BB" w:rsidP="001908BB">
            <w:pPr>
              <w:pStyle w:val="TableText"/>
              <w:jc w:val="both"/>
              <w:rPr>
                <w:rFonts w:ascii="David" w:hAnsi="David"/>
                <w:sz w:val="26"/>
                <w:rtl/>
              </w:rPr>
            </w:pPr>
          </w:p>
        </w:tc>
        <w:tc>
          <w:tcPr>
            <w:tcW w:w="2395" w:type="dxa"/>
            <w:gridSpan w:val="3"/>
            <w:tcMar>
              <w:top w:w="91" w:type="dxa"/>
              <w:left w:w="0" w:type="dxa"/>
              <w:bottom w:w="91" w:type="dxa"/>
              <w:right w:w="0" w:type="dxa"/>
            </w:tcMar>
          </w:tcPr>
          <w:p w14:paraId="63A51154" w14:textId="6C74289E" w:rsidR="001908BB" w:rsidRPr="00D04B16" w:rsidRDefault="001908BB" w:rsidP="001908BB">
            <w:pPr>
              <w:rPr>
                <w:sz w:val="26"/>
                <w:rtl/>
              </w:rPr>
            </w:pPr>
            <w:r w:rsidRPr="00D04B16">
              <w:rPr>
                <w:sz w:val="26"/>
                <w:rtl/>
              </w:rPr>
              <w:t>הגדרות</w:t>
            </w:r>
            <w:r w:rsidRPr="00D04B16">
              <w:rPr>
                <w:rFonts w:hint="cs"/>
                <w:sz w:val="26"/>
                <w:rtl/>
              </w:rPr>
              <w:t xml:space="preserve"> </w:t>
            </w:r>
            <w:r w:rsidRPr="00D04B16">
              <w:rPr>
                <w:sz w:val="26"/>
                <w:rtl/>
              </w:rPr>
              <w:t>–</w:t>
            </w:r>
            <w:r w:rsidRPr="00D04B16">
              <w:rPr>
                <w:rFonts w:hint="cs"/>
                <w:sz w:val="26"/>
                <w:rtl/>
              </w:rPr>
              <w:t xml:space="preserve"> סימן </w:t>
            </w:r>
            <w:r>
              <w:rPr>
                <w:rFonts w:hint="cs"/>
                <w:sz w:val="26"/>
                <w:rtl/>
              </w:rPr>
              <w:t>ט</w:t>
            </w:r>
            <w:r w:rsidRPr="00D04B16">
              <w:rPr>
                <w:rFonts w:hint="cs"/>
                <w:sz w:val="26"/>
                <w:rtl/>
              </w:rPr>
              <w:t>'</w:t>
            </w:r>
          </w:p>
        </w:tc>
        <w:tc>
          <w:tcPr>
            <w:tcW w:w="730" w:type="dxa"/>
            <w:gridSpan w:val="3"/>
            <w:tcMar>
              <w:top w:w="91" w:type="dxa"/>
              <w:left w:w="0" w:type="dxa"/>
              <w:bottom w:w="91" w:type="dxa"/>
              <w:right w:w="0" w:type="dxa"/>
            </w:tcMar>
          </w:tcPr>
          <w:p w14:paraId="4E96B8ED" w14:textId="69767DA2" w:rsidR="001908BB" w:rsidRPr="00D04B16" w:rsidRDefault="001908BB" w:rsidP="001908BB">
            <w:pPr>
              <w:pStyle w:val="TableText"/>
              <w:rPr>
                <w:rFonts w:ascii="David" w:hAnsi="David"/>
                <w:spacing w:val="-6"/>
                <w:sz w:val="26"/>
                <w:rtl/>
              </w:rPr>
            </w:pPr>
            <w:r w:rsidRPr="00D04B16">
              <w:rPr>
                <w:rFonts w:ascii="David" w:hAnsi="David"/>
                <w:spacing w:val="-6"/>
                <w:sz w:val="26"/>
                <w:rtl/>
              </w:rPr>
              <w:t>179</w:t>
            </w:r>
            <w:r w:rsidRPr="00D04B16">
              <w:rPr>
                <w:rFonts w:ascii="David" w:hAnsi="David" w:hint="cs"/>
                <w:spacing w:val="-6"/>
                <w:sz w:val="26"/>
                <w:rtl/>
              </w:rPr>
              <w:t>כ</w:t>
            </w:r>
            <w:r>
              <w:rPr>
                <w:rFonts w:ascii="David" w:hAnsi="David" w:hint="cs"/>
                <w:spacing w:val="-6"/>
                <w:sz w:val="26"/>
                <w:rtl/>
              </w:rPr>
              <w:t>ח</w:t>
            </w:r>
            <w:r w:rsidRPr="00D04B16">
              <w:rPr>
                <w:rFonts w:ascii="David" w:hAnsi="David"/>
                <w:spacing w:val="-6"/>
                <w:sz w:val="26"/>
                <w:rtl/>
              </w:rPr>
              <w:t>.</w:t>
            </w:r>
          </w:p>
        </w:tc>
        <w:tc>
          <w:tcPr>
            <w:tcW w:w="4645" w:type="dxa"/>
            <w:gridSpan w:val="3"/>
            <w:tcMar>
              <w:top w:w="91" w:type="dxa"/>
              <w:left w:w="0" w:type="dxa"/>
              <w:bottom w:w="91" w:type="dxa"/>
              <w:right w:w="0" w:type="dxa"/>
            </w:tcMar>
          </w:tcPr>
          <w:p w14:paraId="07414E24" w14:textId="77777777" w:rsidR="001908BB" w:rsidRPr="00D04B16" w:rsidRDefault="001908BB" w:rsidP="001908BB">
            <w:pPr>
              <w:pStyle w:val="TableBlock"/>
              <w:rPr>
                <w:rFonts w:ascii="David" w:hAnsi="David"/>
                <w:sz w:val="26"/>
                <w:rtl/>
              </w:rPr>
            </w:pPr>
            <w:r w:rsidRPr="00D04B16">
              <w:rPr>
                <w:rFonts w:ascii="David" w:hAnsi="David"/>
                <w:sz w:val="26"/>
                <w:rtl/>
              </w:rPr>
              <w:t>בסימן זה –</w:t>
            </w:r>
          </w:p>
        </w:tc>
      </w:tr>
      <w:tr w:rsidR="001908BB" w:rsidRPr="00D04B16" w14:paraId="64A2084A" w14:textId="77777777" w:rsidTr="00FE12E5">
        <w:tblPrEx>
          <w:tblLook w:val="0000" w:firstRow="0" w:lastRow="0" w:firstColumn="0" w:lastColumn="0" w:noHBand="0" w:noVBand="0"/>
        </w:tblPrEx>
        <w:trPr>
          <w:cantSplit/>
        </w:trPr>
        <w:tc>
          <w:tcPr>
            <w:tcW w:w="1583" w:type="dxa"/>
            <w:tcMar>
              <w:top w:w="91" w:type="dxa"/>
              <w:left w:w="0" w:type="dxa"/>
              <w:bottom w:w="91" w:type="dxa"/>
              <w:right w:w="0" w:type="dxa"/>
            </w:tcMar>
          </w:tcPr>
          <w:p w14:paraId="3DC1B0FF" w14:textId="77777777" w:rsidR="001908BB" w:rsidRPr="00D04B16" w:rsidRDefault="001908BB" w:rsidP="001908BB">
            <w:pPr>
              <w:pStyle w:val="TableSideHeading"/>
              <w:outlineLvl w:val="9"/>
              <w:rPr>
                <w:rFonts w:ascii="David" w:hAnsi="David"/>
                <w:sz w:val="26"/>
                <w:rtl/>
              </w:rPr>
            </w:pPr>
          </w:p>
        </w:tc>
        <w:tc>
          <w:tcPr>
            <w:tcW w:w="283" w:type="dxa"/>
            <w:tcMar>
              <w:top w:w="91" w:type="dxa"/>
              <w:left w:w="0" w:type="dxa"/>
              <w:bottom w:w="91" w:type="dxa"/>
              <w:right w:w="0" w:type="dxa"/>
            </w:tcMar>
          </w:tcPr>
          <w:p w14:paraId="4AAFFAC8" w14:textId="77777777" w:rsidR="001908BB" w:rsidRPr="00D04B16" w:rsidRDefault="001908BB" w:rsidP="001908BB">
            <w:pPr>
              <w:pStyle w:val="TableText"/>
              <w:jc w:val="both"/>
              <w:rPr>
                <w:rFonts w:ascii="David" w:hAnsi="David"/>
                <w:sz w:val="26"/>
                <w:rtl/>
              </w:rPr>
            </w:pPr>
          </w:p>
        </w:tc>
        <w:tc>
          <w:tcPr>
            <w:tcW w:w="1131" w:type="dxa"/>
            <w:tcMar>
              <w:top w:w="91" w:type="dxa"/>
              <w:left w:w="0" w:type="dxa"/>
              <w:bottom w:w="91" w:type="dxa"/>
              <w:right w:w="0" w:type="dxa"/>
            </w:tcMar>
          </w:tcPr>
          <w:p w14:paraId="5C34A3D2" w14:textId="77777777" w:rsidR="001908BB" w:rsidRPr="00D04B16" w:rsidRDefault="001908BB" w:rsidP="001908BB">
            <w:pPr>
              <w:pStyle w:val="TableText"/>
              <w:jc w:val="both"/>
              <w:rPr>
                <w:rFonts w:ascii="David" w:hAnsi="David"/>
                <w:sz w:val="26"/>
                <w:rtl/>
              </w:rPr>
            </w:pPr>
          </w:p>
        </w:tc>
        <w:tc>
          <w:tcPr>
            <w:tcW w:w="709" w:type="dxa"/>
            <w:tcMar>
              <w:top w:w="91" w:type="dxa"/>
              <w:left w:w="0" w:type="dxa"/>
              <w:bottom w:w="91" w:type="dxa"/>
              <w:right w:w="0" w:type="dxa"/>
            </w:tcMar>
          </w:tcPr>
          <w:p w14:paraId="6A7D8EF8" w14:textId="77777777" w:rsidR="001908BB" w:rsidRPr="00D04B16" w:rsidRDefault="001908BB" w:rsidP="001908BB">
            <w:pPr>
              <w:pStyle w:val="TableText"/>
              <w:jc w:val="both"/>
              <w:rPr>
                <w:rFonts w:ascii="David" w:hAnsi="David"/>
                <w:sz w:val="26"/>
                <w:rtl/>
              </w:rPr>
            </w:pPr>
          </w:p>
        </w:tc>
        <w:tc>
          <w:tcPr>
            <w:tcW w:w="580" w:type="dxa"/>
            <w:gridSpan w:val="2"/>
            <w:tcMar>
              <w:top w:w="91" w:type="dxa"/>
              <w:left w:w="0" w:type="dxa"/>
              <w:bottom w:w="91" w:type="dxa"/>
              <w:right w:w="0" w:type="dxa"/>
            </w:tcMar>
          </w:tcPr>
          <w:p w14:paraId="6DE2BE92" w14:textId="77777777" w:rsidR="001908BB" w:rsidRPr="00D04B16" w:rsidRDefault="001908BB" w:rsidP="001908BB">
            <w:pPr>
              <w:pStyle w:val="TableText"/>
              <w:jc w:val="both"/>
              <w:rPr>
                <w:rFonts w:ascii="David" w:hAnsi="David"/>
                <w:sz w:val="26"/>
                <w:rtl/>
              </w:rPr>
            </w:pPr>
          </w:p>
        </w:tc>
        <w:tc>
          <w:tcPr>
            <w:tcW w:w="730" w:type="dxa"/>
            <w:gridSpan w:val="3"/>
            <w:tcMar>
              <w:top w:w="91" w:type="dxa"/>
              <w:left w:w="0" w:type="dxa"/>
              <w:bottom w:w="91" w:type="dxa"/>
              <w:right w:w="0" w:type="dxa"/>
            </w:tcMar>
          </w:tcPr>
          <w:p w14:paraId="2EB5D842" w14:textId="77777777" w:rsidR="001908BB" w:rsidRPr="00D04B16" w:rsidRDefault="001908BB" w:rsidP="001908BB">
            <w:pPr>
              <w:pStyle w:val="TableText"/>
              <w:jc w:val="both"/>
              <w:rPr>
                <w:rFonts w:ascii="David" w:hAnsi="David"/>
                <w:sz w:val="26"/>
                <w:rtl/>
              </w:rPr>
            </w:pPr>
          </w:p>
        </w:tc>
        <w:tc>
          <w:tcPr>
            <w:tcW w:w="4645" w:type="dxa"/>
            <w:gridSpan w:val="3"/>
            <w:tcMar>
              <w:top w:w="91" w:type="dxa"/>
              <w:left w:w="0" w:type="dxa"/>
              <w:bottom w:w="91" w:type="dxa"/>
              <w:right w:w="0" w:type="dxa"/>
            </w:tcMar>
          </w:tcPr>
          <w:p w14:paraId="11362123" w14:textId="77777777" w:rsidR="001908BB" w:rsidRPr="00D04B16" w:rsidRDefault="001908BB" w:rsidP="001908BB">
            <w:pPr>
              <w:pStyle w:val="TableBlockOutdent"/>
              <w:rPr>
                <w:rFonts w:ascii="David" w:hAnsi="David"/>
                <w:sz w:val="26"/>
                <w:rtl/>
              </w:rPr>
            </w:pPr>
            <w:r w:rsidRPr="00D04B16">
              <w:rPr>
                <w:rFonts w:ascii="David" w:hAnsi="David"/>
                <w:sz w:val="26"/>
                <w:rtl/>
              </w:rPr>
              <w:t>"הפסקת העסקה</w:t>
            </w:r>
            <w:r w:rsidRPr="00D04B16">
              <w:rPr>
                <w:rFonts w:ascii="David" w:hAnsi="David" w:hint="cs"/>
                <w:sz w:val="26"/>
                <w:rtl/>
              </w:rPr>
              <w:t>",</w:t>
            </w:r>
            <w:r w:rsidRPr="00D04B16">
              <w:rPr>
                <w:rFonts w:ascii="David" w:hAnsi="David"/>
                <w:sz w:val="26"/>
                <w:rtl/>
              </w:rPr>
              <w:t xml:space="preserve"> של עובד </w:t>
            </w:r>
            <w:r w:rsidRPr="00D04B16">
              <w:rPr>
                <w:rFonts w:ascii="David" w:hAnsi="David" w:hint="cs"/>
                <w:sz w:val="26"/>
                <w:rtl/>
              </w:rPr>
              <w:t>-</w:t>
            </w:r>
            <w:r w:rsidRPr="00D04B16">
              <w:rPr>
                <w:rFonts w:ascii="David" w:hAnsi="David"/>
                <w:sz w:val="26"/>
                <w:rtl/>
              </w:rPr>
              <w:t xml:space="preserve"> הפסקת העסקתו של עובד, באחד מאלה:</w:t>
            </w:r>
          </w:p>
        </w:tc>
      </w:tr>
      <w:tr w:rsidR="001908BB" w:rsidRPr="00D04B16" w14:paraId="78B3AABB" w14:textId="77777777" w:rsidTr="00FE12E5">
        <w:tblPrEx>
          <w:tblLook w:val="0000" w:firstRow="0" w:lastRow="0" w:firstColumn="0" w:lastColumn="0" w:noHBand="0" w:noVBand="0"/>
        </w:tblPrEx>
        <w:trPr>
          <w:cantSplit/>
        </w:trPr>
        <w:tc>
          <w:tcPr>
            <w:tcW w:w="1583" w:type="dxa"/>
            <w:tcMar>
              <w:top w:w="91" w:type="dxa"/>
              <w:left w:w="0" w:type="dxa"/>
              <w:bottom w:w="91" w:type="dxa"/>
              <w:right w:w="0" w:type="dxa"/>
            </w:tcMar>
          </w:tcPr>
          <w:p w14:paraId="3724F126" w14:textId="77777777" w:rsidR="001908BB" w:rsidRPr="00D04B16" w:rsidRDefault="001908BB" w:rsidP="001908BB">
            <w:pPr>
              <w:pStyle w:val="TableSideHeading"/>
              <w:outlineLvl w:val="9"/>
              <w:rPr>
                <w:rFonts w:ascii="David" w:hAnsi="David"/>
                <w:sz w:val="26"/>
                <w:rtl/>
              </w:rPr>
            </w:pPr>
          </w:p>
        </w:tc>
        <w:tc>
          <w:tcPr>
            <w:tcW w:w="283" w:type="dxa"/>
            <w:tcMar>
              <w:top w:w="91" w:type="dxa"/>
              <w:left w:w="0" w:type="dxa"/>
              <w:bottom w:w="91" w:type="dxa"/>
              <w:right w:w="0" w:type="dxa"/>
            </w:tcMar>
          </w:tcPr>
          <w:p w14:paraId="1F4418B9" w14:textId="77777777" w:rsidR="001908BB" w:rsidRPr="00D04B16" w:rsidRDefault="001908BB" w:rsidP="001908BB">
            <w:pPr>
              <w:pStyle w:val="TableText"/>
              <w:jc w:val="both"/>
              <w:rPr>
                <w:rFonts w:ascii="David" w:hAnsi="David"/>
                <w:sz w:val="26"/>
                <w:rtl/>
              </w:rPr>
            </w:pPr>
          </w:p>
        </w:tc>
        <w:tc>
          <w:tcPr>
            <w:tcW w:w="1131" w:type="dxa"/>
            <w:tcMar>
              <w:top w:w="91" w:type="dxa"/>
              <w:left w:w="0" w:type="dxa"/>
              <w:bottom w:w="91" w:type="dxa"/>
              <w:right w:w="0" w:type="dxa"/>
            </w:tcMar>
          </w:tcPr>
          <w:p w14:paraId="1275237D" w14:textId="77777777" w:rsidR="001908BB" w:rsidRPr="00D04B16" w:rsidRDefault="001908BB" w:rsidP="001908BB">
            <w:pPr>
              <w:pStyle w:val="TableText"/>
              <w:jc w:val="both"/>
              <w:rPr>
                <w:rFonts w:ascii="David" w:hAnsi="David"/>
                <w:sz w:val="26"/>
                <w:rtl/>
              </w:rPr>
            </w:pPr>
          </w:p>
        </w:tc>
        <w:tc>
          <w:tcPr>
            <w:tcW w:w="709" w:type="dxa"/>
            <w:tcMar>
              <w:top w:w="91" w:type="dxa"/>
              <w:left w:w="0" w:type="dxa"/>
              <w:bottom w:w="91" w:type="dxa"/>
              <w:right w:w="0" w:type="dxa"/>
            </w:tcMar>
          </w:tcPr>
          <w:p w14:paraId="32DF2151" w14:textId="77777777" w:rsidR="001908BB" w:rsidRPr="00D04B16" w:rsidRDefault="001908BB" w:rsidP="001908BB">
            <w:pPr>
              <w:pStyle w:val="TableText"/>
              <w:jc w:val="both"/>
              <w:rPr>
                <w:rFonts w:ascii="David" w:hAnsi="David"/>
                <w:sz w:val="26"/>
                <w:rtl/>
              </w:rPr>
            </w:pPr>
          </w:p>
        </w:tc>
        <w:tc>
          <w:tcPr>
            <w:tcW w:w="580" w:type="dxa"/>
            <w:gridSpan w:val="2"/>
            <w:tcMar>
              <w:top w:w="91" w:type="dxa"/>
              <w:left w:w="0" w:type="dxa"/>
              <w:bottom w:w="91" w:type="dxa"/>
              <w:right w:w="0" w:type="dxa"/>
            </w:tcMar>
          </w:tcPr>
          <w:p w14:paraId="350DEF07" w14:textId="77777777" w:rsidR="001908BB" w:rsidRPr="00D04B16" w:rsidRDefault="001908BB" w:rsidP="001908BB">
            <w:pPr>
              <w:pStyle w:val="TableText"/>
              <w:jc w:val="both"/>
              <w:rPr>
                <w:rFonts w:ascii="David" w:hAnsi="David"/>
                <w:sz w:val="26"/>
                <w:rtl/>
              </w:rPr>
            </w:pPr>
          </w:p>
        </w:tc>
        <w:tc>
          <w:tcPr>
            <w:tcW w:w="730" w:type="dxa"/>
            <w:gridSpan w:val="3"/>
            <w:tcMar>
              <w:top w:w="91" w:type="dxa"/>
              <w:left w:w="0" w:type="dxa"/>
              <w:bottom w:w="91" w:type="dxa"/>
              <w:right w:w="0" w:type="dxa"/>
            </w:tcMar>
          </w:tcPr>
          <w:p w14:paraId="7297A7C5" w14:textId="77777777" w:rsidR="001908BB" w:rsidRPr="00D04B16" w:rsidRDefault="001908BB" w:rsidP="001908BB">
            <w:pPr>
              <w:pStyle w:val="TableText"/>
              <w:jc w:val="both"/>
              <w:rPr>
                <w:rFonts w:ascii="David" w:hAnsi="David"/>
                <w:sz w:val="26"/>
                <w:rtl/>
              </w:rPr>
            </w:pPr>
          </w:p>
        </w:tc>
        <w:tc>
          <w:tcPr>
            <w:tcW w:w="623" w:type="dxa"/>
            <w:tcMar>
              <w:top w:w="91" w:type="dxa"/>
              <w:left w:w="0" w:type="dxa"/>
              <w:bottom w:w="91" w:type="dxa"/>
              <w:right w:w="0" w:type="dxa"/>
            </w:tcMar>
          </w:tcPr>
          <w:p w14:paraId="3F0C34AA" w14:textId="77777777" w:rsidR="001908BB" w:rsidRPr="00D04B16" w:rsidRDefault="001908BB" w:rsidP="001908BB">
            <w:pPr>
              <w:pStyle w:val="TableText"/>
              <w:jc w:val="both"/>
              <w:rPr>
                <w:rFonts w:ascii="David" w:hAnsi="David"/>
                <w:sz w:val="26"/>
                <w:rtl/>
              </w:rPr>
            </w:pPr>
          </w:p>
        </w:tc>
        <w:tc>
          <w:tcPr>
            <w:tcW w:w="4022" w:type="dxa"/>
            <w:gridSpan w:val="2"/>
            <w:tcMar>
              <w:top w:w="91" w:type="dxa"/>
              <w:left w:w="0" w:type="dxa"/>
              <w:bottom w:w="91" w:type="dxa"/>
              <w:right w:w="0" w:type="dxa"/>
            </w:tcMar>
          </w:tcPr>
          <w:p w14:paraId="524D4096" w14:textId="77777777" w:rsidR="001908BB" w:rsidRPr="00D04B16" w:rsidRDefault="001908BB" w:rsidP="001908BB">
            <w:pPr>
              <w:pStyle w:val="TableBlock"/>
              <w:rPr>
                <w:rtl/>
              </w:rPr>
            </w:pPr>
            <w:r w:rsidRPr="00D04B16">
              <w:rPr>
                <w:rtl/>
              </w:rPr>
              <w:t>(1)</w:t>
            </w:r>
            <w:r w:rsidRPr="00D04B16">
              <w:rPr>
                <w:rtl/>
              </w:rPr>
              <w:tab/>
              <w:t>הודעת המעסיק על פיטורי העובד;</w:t>
            </w:r>
          </w:p>
        </w:tc>
      </w:tr>
      <w:tr w:rsidR="001908BB" w:rsidRPr="00D04B16" w14:paraId="65580303" w14:textId="77777777" w:rsidTr="00FE12E5">
        <w:tblPrEx>
          <w:tblLook w:val="0000" w:firstRow="0" w:lastRow="0" w:firstColumn="0" w:lastColumn="0" w:noHBand="0" w:noVBand="0"/>
        </w:tblPrEx>
        <w:trPr>
          <w:cantSplit/>
        </w:trPr>
        <w:tc>
          <w:tcPr>
            <w:tcW w:w="1583" w:type="dxa"/>
            <w:tcMar>
              <w:top w:w="91" w:type="dxa"/>
              <w:left w:w="0" w:type="dxa"/>
              <w:bottom w:w="91" w:type="dxa"/>
              <w:right w:w="0" w:type="dxa"/>
            </w:tcMar>
          </w:tcPr>
          <w:p w14:paraId="1FA9CBE2" w14:textId="77777777" w:rsidR="001908BB" w:rsidRPr="00D04B16" w:rsidRDefault="001908BB" w:rsidP="001908BB">
            <w:pPr>
              <w:pStyle w:val="TableSideHeading"/>
              <w:outlineLvl w:val="9"/>
              <w:rPr>
                <w:rFonts w:ascii="David" w:hAnsi="David"/>
                <w:sz w:val="26"/>
              </w:rPr>
            </w:pPr>
          </w:p>
        </w:tc>
        <w:tc>
          <w:tcPr>
            <w:tcW w:w="283" w:type="dxa"/>
            <w:tcMar>
              <w:top w:w="91" w:type="dxa"/>
              <w:left w:w="0" w:type="dxa"/>
              <w:bottom w:w="91" w:type="dxa"/>
              <w:right w:w="0" w:type="dxa"/>
            </w:tcMar>
          </w:tcPr>
          <w:p w14:paraId="4FFF71FF" w14:textId="77777777" w:rsidR="001908BB" w:rsidRPr="00D04B16" w:rsidRDefault="001908BB" w:rsidP="001908BB">
            <w:pPr>
              <w:pStyle w:val="TableText"/>
              <w:jc w:val="both"/>
              <w:rPr>
                <w:rFonts w:ascii="David" w:hAnsi="David"/>
                <w:sz w:val="26"/>
                <w:rtl/>
              </w:rPr>
            </w:pPr>
          </w:p>
        </w:tc>
        <w:tc>
          <w:tcPr>
            <w:tcW w:w="1131" w:type="dxa"/>
            <w:tcMar>
              <w:top w:w="91" w:type="dxa"/>
              <w:left w:w="0" w:type="dxa"/>
              <w:bottom w:w="91" w:type="dxa"/>
              <w:right w:w="0" w:type="dxa"/>
            </w:tcMar>
          </w:tcPr>
          <w:p w14:paraId="15C515C3" w14:textId="77777777" w:rsidR="001908BB" w:rsidRPr="00D04B16" w:rsidRDefault="001908BB" w:rsidP="001908BB">
            <w:pPr>
              <w:pStyle w:val="TableText"/>
              <w:jc w:val="both"/>
              <w:rPr>
                <w:rFonts w:ascii="David" w:hAnsi="David"/>
                <w:sz w:val="26"/>
                <w:rtl/>
              </w:rPr>
            </w:pPr>
          </w:p>
        </w:tc>
        <w:tc>
          <w:tcPr>
            <w:tcW w:w="709" w:type="dxa"/>
            <w:tcMar>
              <w:top w:w="91" w:type="dxa"/>
              <w:left w:w="0" w:type="dxa"/>
              <w:bottom w:w="91" w:type="dxa"/>
              <w:right w:w="0" w:type="dxa"/>
            </w:tcMar>
          </w:tcPr>
          <w:p w14:paraId="44E09050" w14:textId="77777777" w:rsidR="001908BB" w:rsidRPr="00D04B16" w:rsidRDefault="001908BB" w:rsidP="001908BB">
            <w:pPr>
              <w:pStyle w:val="TableText"/>
              <w:jc w:val="both"/>
              <w:rPr>
                <w:rFonts w:ascii="David" w:hAnsi="David"/>
                <w:sz w:val="26"/>
                <w:rtl/>
              </w:rPr>
            </w:pPr>
          </w:p>
        </w:tc>
        <w:tc>
          <w:tcPr>
            <w:tcW w:w="580" w:type="dxa"/>
            <w:gridSpan w:val="2"/>
            <w:tcMar>
              <w:top w:w="91" w:type="dxa"/>
              <w:left w:w="0" w:type="dxa"/>
              <w:bottom w:w="91" w:type="dxa"/>
              <w:right w:w="0" w:type="dxa"/>
            </w:tcMar>
          </w:tcPr>
          <w:p w14:paraId="760D28EC" w14:textId="77777777" w:rsidR="001908BB" w:rsidRPr="00D04B16" w:rsidRDefault="001908BB" w:rsidP="001908BB">
            <w:pPr>
              <w:pStyle w:val="TableText"/>
              <w:jc w:val="both"/>
              <w:rPr>
                <w:rFonts w:ascii="David" w:hAnsi="David"/>
                <w:sz w:val="26"/>
                <w:rtl/>
              </w:rPr>
            </w:pPr>
          </w:p>
        </w:tc>
        <w:tc>
          <w:tcPr>
            <w:tcW w:w="730" w:type="dxa"/>
            <w:gridSpan w:val="3"/>
            <w:tcMar>
              <w:top w:w="91" w:type="dxa"/>
              <w:left w:w="0" w:type="dxa"/>
              <w:bottom w:w="91" w:type="dxa"/>
              <w:right w:w="0" w:type="dxa"/>
            </w:tcMar>
          </w:tcPr>
          <w:p w14:paraId="71E7DA18" w14:textId="77777777" w:rsidR="001908BB" w:rsidRPr="00C47194" w:rsidRDefault="001908BB" w:rsidP="001908BB">
            <w:pPr>
              <w:pStyle w:val="TableText"/>
              <w:jc w:val="both"/>
              <w:rPr>
                <w:rFonts w:ascii="David" w:hAnsi="David"/>
                <w:sz w:val="26"/>
                <w:rtl/>
              </w:rPr>
            </w:pPr>
          </w:p>
        </w:tc>
        <w:tc>
          <w:tcPr>
            <w:tcW w:w="623" w:type="dxa"/>
            <w:tcMar>
              <w:top w:w="91" w:type="dxa"/>
              <w:left w:w="0" w:type="dxa"/>
              <w:bottom w:w="91" w:type="dxa"/>
              <w:right w:w="0" w:type="dxa"/>
            </w:tcMar>
          </w:tcPr>
          <w:p w14:paraId="66A6CE5E" w14:textId="77777777" w:rsidR="001908BB" w:rsidRPr="00C47194" w:rsidRDefault="001908BB" w:rsidP="001908BB">
            <w:pPr>
              <w:pStyle w:val="TableText"/>
              <w:jc w:val="both"/>
              <w:rPr>
                <w:rFonts w:ascii="David" w:hAnsi="David"/>
                <w:sz w:val="26"/>
                <w:rtl/>
              </w:rPr>
            </w:pPr>
          </w:p>
        </w:tc>
        <w:tc>
          <w:tcPr>
            <w:tcW w:w="4022" w:type="dxa"/>
            <w:gridSpan w:val="2"/>
            <w:tcMar>
              <w:top w:w="91" w:type="dxa"/>
              <w:left w:w="0" w:type="dxa"/>
              <w:bottom w:w="91" w:type="dxa"/>
              <w:right w:w="0" w:type="dxa"/>
            </w:tcMar>
          </w:tcPr>
          <w:p w14:paraId="2847CB89" w14:textId="7B0FA7E1" w:rsidR="001908BB" w:rsidRPr="00C47194" w:rsidRDefault="001908BB" w:rsidP="001908BB">
            <w:pPr>
              <w:pStyle w:val="TableBlock"/>
              <w:rPr>
                <w:rtl/>
              </w:rPr>
            </w:pPr>
            <w:r w:rsidRPr="00C47194">
              <w:rPr>
                <w:rtl/>
              </w:rPr>
              <w:t>(2)</w:t>
            </w:r>
            <w:r w:rsidRPr="00C47194">
              <w:rPr>
                <w:rtl/>
              </w:rPr>
              <w:tab/>
            </w:r>
            <w:r w:rsidRPr="00C47194">
              <w:rPr>
                <w:rFonts w:ascii="David" w:hAnsi="David"/>
                <w:sz w:val="26"/>
                <w:rtl/>
              </w:rPr>
              <w:t>הוצאת העובד לחופשה ללא תשלום, בתנאים הקבועים בסעיף 177א, אולם לעניין זה יקראו</w:t>
            </w:r>
            <w:r w:rsidRPr="00C47194">
              <w:rPr>
                <w:rFonts w:ascii="David" w:hAnsi="David" w:hint="cs"/>
                <w:sz w:val="26"/>
                <w:rtl/>
              </w:rPr>
              <w:t xml:space="preserve"> </w:t>
            </w:r>
            <w:r w:rsidRPr="00C47194">
              <w:rPr>
                <w:rFonts w:ascii="David" w:hAnsi="David"/>
                <w:sz w:val="26"/>
                <w:rtl/>
              </w:rPr>
              <w:t xml:space="preserve">את פסקה (1) של הסעיף האמור </w:t>
            </w:r>
            <w:r w:rsidRPr="00C47194">
              <w:rPr>
                <w:rFonts w:ascii="David" w:hAnsi="David" w:hint="cs"/>
                <w:sz w:val="26"/>
                <w:rtl/>
              </w:rPr>
              <w:t>כך ש</w:t>
            </w:r>
            <w:r w:rsidRPr="00C47194">
              <w:rPr>
                <w:rFonts w:ascii="David" w:hAnsi="David"/>
                <w:sz w:val="26"/>
                <w:rtl/>
              </w:rPr>
              <w:t>במקום "30" יבוא "</w:t>
            </w:r>
            <w:r w:rsidRPr="00C47194">
              <w:rPr>
                <w:rFonts w:ascii="David" w:hAnsi="David" w:hint="cs"/>
                <w:sz w:val="26"/>
                <w:rtl/>
              </w:rPr>
              <w:t>14</w:t>
            </w:r>
            <w:r w:rsidRPr="00C47194">
              <w:rPr>
                <w:rFonts w:ascii="David" w:hAnsi="David"/>
                <w:sz w:val="26"/>
                <w:rtl/>
              </w:rPr>
              <w:t>";</w:t>
            </w:r>
            <w:r w:rsidRPr="00C47194">
              <w:rPr>
                <w:rFonts w:hint="cs"/>
                <w:rtl/>
              </w:rPr>
              <w:t xml:space="preserve">  </w:t>
            </w:r>
          </w:p>
        </w:tc>
      </w:tr>
      <w:tr w:rsidR="001908BB" w:rsidRPr="00D04B16" w14:paraId="05B53240" w14:textId="77777777" w:rsidTr="00FE12E5">
        <w:tblPrEx>
          <w:tblLook w:val="0000" w:firstRow="0" w:lastRow="0" w:firstColumn="0" w:lastColumn="0" w:noHBand="0" w:noVBand="0"/>
        </w:tblPrEx>
        <w:trPr>
          <w:cantSplit/>
        </w:trPr>
        <w:tc>
          <w:tcPr>
            <w:tcW w:w="1583" w:type="dxa"/>
            <w:tcMar>
              <w:top w:w="91" w:type="dxa"/>
              <w:left w:w="0" w:type="dxa"/>
              <w:bottom w:w="91" w:type="dxa"/>
              <w:right w:w="0" w:type="dxa"/>
            </w:tcMar>
          </w:tcPr>
          <w:p w14:paraId="4BFA4204" w14:textId="77777777" w:rsidR="001908BB" w:rsidRPr="00D04B16" w:rsidRDefault="001908BB" w:rsidP="001908BB">
            <w:pPr>
              <w:pStyle w:val="TableSideHeading"/>
              <w:outlineLvl w:val="9"/>
              <w:rPr>
                <w:rtl/>
              </w:rPr>
            </w:pPr>
          </w:p>
        </w:tc>
        <w:tc>
          <w:tcPr>
            <w:tcW w:w="283" w:type="dxa"/>
            <w:tcMar>
              <w:top w:w="91" w:type="dxa"/>
              <w:left w:w="0" w:type="dxa"/>
              <w:bottom w:w="91" w:type="dxa"/>
              <w:right w:w="0" w:type="dxa"/>
            </w:tcMar>
          </w:tcPr>
          <w:p w14:paraId="5AC37589" w14:textId="77777777" w:rsidR="001908BB" w:rsidRPr="00D04B16" w:rsidRDefault="001908BB" w:rsidP="001908BB">
            <w:pPr>
              <w:pStyle w:val="TableText"/>
              <w:jc w:val="both"/>
              <w:rPr>
                <w:rFonts w:ascii="David" w:hAnsi="David"/>
                <w:sz w:val="26"/>
                <w:rtl/>
              </w:rPr>
            </w:pPr>
          </w:p>
        </w:tc>
        <w:tc>
          <w:tcPr>
            <w:tcW w:w="1131" w:type="dxa"/>
            <w:tcMar>
              <w:top w:w="91" w:type="dxa"/>
              <w:left w:w="0" w:type="dxa"/>
              <w:bottom w:w="91" w:type="dxa"/>
              <w:right w:w="0" w:type="dxa"/>
            </w:tcMar>
          </w:tcPr>
          <w:p w14:paraId="1780E529" w14:textId="77777777" w:rsidR="001908BB" w:rsidRPr="00D04B16" w:rsidRDefault="001908BB" w:rsidP="001908BB">
            <w:pPr>
              <w:pStyle w:val="TableText"/>
              <w:jc w:val="both"/>
              <w:rPr>
                <w:rFonts w:ascii="David" w:hAnsi="David"/>
                <w:sz w:val="26"/>
                <w:rtl/>
              </w:rPr>
            </w:pPr>
          </w:p>
        </w:tc>
        <w:tc>
          <w:tcPr>
            <w:tcW w:w="709" w:type="dxa"/>
            <w:tcMar>
              <w:top w:w="91" w:type="dxa"/>
              <w:left w:w="0" w:type="dxa"/>
              <w:bottom w:w="91" w:type="dxa"/>
              <w:right w:w="0" w:type="dxa"/>
            </w:tcMar>
          </w:tcPr>
          <w:p w14:paraId="46E407F2" w14:textId="77777777" w:rsidR="001908BB" w:rsidRPr="00D04B16" w:rsidRDefault="001908BB" w:rsidP="001908BB">
            <w:pPr>
              <w:pStyle w:val="TableText"/>
              <w:jc w:val="both"/>
              <w:rPr>
                <w:rFonts w:ascii="David" w:hAnsi="David"/>
                <w:sz w:val="26"/>
                <w:rtl/>
              </w:rPr>
            </w:pPr>
          </w:p>
        </w:tc>
        <w:tc>
          <w:tcPr>
            <w:tcW w:w="580" w:type="dxa"/>
            <w:gridSpan w:val="2"/>
            <w:tcMar>
              <w:top w:w="91" w:type="dxa"/>
              <w:left w:w="0" w:type="dxa"/>
              <w:bottom w:w="91" w:type="dxa"/>
              <w:right w:w="0" w:type="dxa"/>
            </w:tcMar>
          </w:tcPr>
          <w:p w14:paraId="3511B5A4" w14:textId="77777777" w:rsidR="001908BB" w:rsidRPr="00D04B16" w:rsidRDefault="001908BB" w:rsidP="001908BB">
            <w:pPr>
              <w:pStyle w:val="TableText"/>
              <w:jc w:val="both"/>
              <w:rPr>
                <w:rFonts w:ascii="David" w:hAnsi="David"/>
                <w:sz w:val="26"/>
                <w:rtl/>
              </w:rPr>
            </w:pPr>
          </w:p>
        </w:tc>
        <w:tc>
          <w:tcPr>
            <w:tcW w:w="730" w:type="dxa"/>
            <w:gridSpan w:val="3"/>
            <w:tcMar>
              <w:top w:w="91" w:type="dxa"/>
              <w:left w:w="0" w:type="dxa"/>
              <w:bottom w:w="91" w:type="dxa"/>
              <w:right w:w="0" w:type="dxa"/>
            </w:tcMar>
          </w:tcPr>
          <w:p w14:paraId="03722F8C" w14:textId="77777777" w:rsidR="001908BB" w:rsidRPr="00C47194" w:rsidRDefault="001908BB" w:rsidP="001908BB">
            <w:pPr>
              <w:pStyle w:val="TableText"/>
              <w:jc w:val="both"/>
              <w:rPr>
                <w:rFonts w:ascii="David" w:hAnsi="David"/>
                <w:sz w:val="26"/>
                <w:rtl/>
              </w:rPr>
            </w:pPr>
          </w:p>
        </w:tc>
        <w:tc>
          <w:tcPr>
            <w:tcW w:w="4645" w:type="dxa"/>
            <w:gridSpan w:val="3"/>
            <w:tcMar>
              <w:top w:w="91" w:type="dxa"/>
              <w:left w:w="0" w:type="dxa"/>
              <w:bottom w:w="91" w:type="dxa"/>
              <w:right w:w="0" w:type="dxa"/>
            </w:tcMar>
          </w:tcPr>
          <w:p w14:paraId="4E96AE9A" w14:textId="7C064B8D" w:rsidR="001908BB" w:rsidRPr="00C47194" w:rsidRDefault="00741CA8" w:rsidP="00741CA8">
            <w:pPr>
              <w:pStyle w:val="TableBlockOutdent"/>
              <w:rPr>
                <w:rFonts w:ascii="David" w:hAnsi="David"/>
                <w:sz w:val="26"/>
                <w:rtl/>
              </w:rPr>
            </w:pPr>
            <w:r w:rsidRPr="00C47194">
              <w:rPr>
                <w:rFonts w:ascii="David" w:hAnsi="David"/>
                <w:sz w:val="26"/>
                <w:rtl/>
              </w:rPr>
              <w:t>"התקופה הקובעת" –</w:t>
            </w:r>
            <w:r w:rsidRPr="00C47194">
              <w:rPr>
                <w:rFonts w:ascii="David" w:hAnsi="David" w:hint="cs"/>
                <w:sz w:val="26"/>
                <w:rtl/>
              </w:rPr>
              <w:t xml:space="preserve"> </w:t>
            </w:r>
            <w:r w:rsidRPr="00C47194">
              <w:rPr>
                <w:rFonts w:ascii="David" w:hAnsi="David"/>
                <w:sz w:val="26"/>
                <w:rtl/>
              </w:rPr>
              <w:t xml:space="preserve"> התקופה שמיום י"</w:t>
            </w:r>
            <w:r w:rsidRPr="00C47194">
              <w:rPr>
                <w:rFonts w:ascii="David" w:hAnsi="David" w:hint="eastAsia"/>
                <w:sz w:val="26"/>
                <w:rtl/>
              </w:rPr>
              <w:t>א</w:t>
            </w:r>
            <w:r w:rsidRPr="00C47194">
              <w:rPr>
                <w:rFonts w:ascii="David" w:hAnsi="David"/>
                <w:sz w:val="26"/>
                <w:rtl/>
              </w:rPr>
              <w:t xml:space="preserve"> ב</w:t>
            </w:r>
            <w:r w:rsidRPr="00C47194">
              <w:rPr>
                <w:rFonts w:ascii="David" w:hAnsi="David" w:hint="eastAsia"/>
                <w:sz w:val="26"/>
                <w:rtl/>
              </w:rPr>
              <w:t>אדר</w:t>
            </w:r>
            <w:r w:rsidRPr="00C47194">
              <w:rPr>
                <w:rFonts w:ascii="David" w:hAnsi="David" w:hint="cs"/>
                <w:sz w:val="26"/>
                <w:rtl/>
              </w:rPr>
              <w:t xml:space="preserve"> </w:t>
            </w:r>
            <w:proofErr w:type="spellStart"/>
            <w:r w:rsidRPr="00C47194">
              <w:rPr>
                <w:rFonts w:ascii="David" w:hAnsi="David"/>
                <w:sz w:val="26"/>
                <w:rtl/>
              </w:rPr>
              <w:t>התשפ</w:t>
            </w:r>
            <w:proofErr w:type="spellEnd"/>
            <w:r w:rsidRPr="00C47194">
              <w:rPr>
                <w:rFonts w:ascii="David" w:hAnsi="David"/>
                <w:sz w:val="26"/>
                <w:rtl/>
              </w:rPr>
              <w:t>"</w:t>
            </w:r>
            <w:r w:rsidRPr="00C47194">
              <w:rPr>
                <w:rFonts w:ascii="David" w:hAnsi="David" w:hint="eastAsia"/>
                <w:sz w:val="26"/>
                <w:rtl/>
              </w:rPr>
              <w:t>ו</w:t>
            </w:r>
            <w:r w:rsidRPr="00C47194">
              <w:rPr>
                <w:rFonts w:ascii="David" w:hAnsi="David"/>
                <w:sz w:val="26"/>
                <w:rtl/>
              </w:rPr>
              <w:t xml:space="preserve"> (28 ב</w:t>
            </w:r>
            <w:r w:rsidRPr="00C47194">
              <w:rPr>
                <w:rFonts w:ascii="David" w:hAnsi="David" w:hint="eastAsia"/>
                <w:sz w:val="26"/>
                <w:rtl/>
              </w:rPr>
              <w:t>פברואר</w:t>
            </w:r>
            <w:r w:rsidRPr="00C47194">
              <w:rPr>
                <w:rFonts w:ascii="David" w:hAnsi="David"/>
                <w:sz w:val="26"/>
                <w:rtl/>
              </w:rPr>
              <w:t xml:space="preserve"> 2026) עד יום </w:t>
            </w:r>
            <w:r w:rsidRPr="00C47194">
              <w:rPr>
                <w:rFonts w:ascii="David" w:hAnsi="David" w:hint="eastAsia"/>
                <w:sz w:val="26"/>
                <w:rtl/>
              </w:rPr>
              <w:t>י</w:t>
            </w:r>
            <w:r w:rsidRPr="00C47194">
              <w:rPr>
                <w:rFonts w:ascii="David" w:hAnsi="David"/>
                <w:sz w:val="26"/>
                <w:rtl/>
              </w:rPr>
              <w:t>"</w:t>
            </w:r>
            <w:r w:rsidRPr="00C47194">
              <w:rPr>
                <w:rFonts w:ascii="David" w:hAnsi="David" w:hint="eastAsia"/>
                <w:sz w:val="26"/>
                <w:rtl/>
              </w:rPr>
              <w:t>ג</w:t>
            </w:r>
            <w:r w:rsidRPr="00C47194">
              <w:rPr>
                <w:rFonts w:ascii="David" w:hAnsi="David"/>
                <w:sz w:val="26"/>
                <w:rtl/>
              </w:rPr>
              <w:t xml:space="preserve"> </w:t>
            </w:r>
            <w:r w:rsidRPr="00C47194">
              <w:rPr>
                <w:rFonts w:ascii="David" w:hAnsi="David" w:hint="eastAsia"/>
                <w:sz w:val="26"/>
                <w:rtl/>
              </w:rPr>
              <w:t>באייר</w:t>
            </w:r>
            <w:r w:rsidRPr="00C47194">
              <w:rPr>
                <w:rFonts w:ascii="David" w:hAnsi="David"/>
                <w:sz w:val="26"/>
                <w:rtl/>
              </w:rPr>
              <w:t xml:space="preserve"> </w:t>
            </w:r>
            <w:proofErr w:type="spellStart"/>
            <w:r w:rsidRPr="00C47194">
              <w:rPr>
                <w:rFonts w:ascii="David" w:hAnsi="David"/>
                <w:sz w:val="26"/>
                <w:rtl/>
              </w:rPr>
              <w:t>התשפ</w:t>
            </w:r>
            <w:proofErr w:type="spellEnd"/>
            <w:r w:rsidRPr="00C47194">
              <w:rPr>
                <w:rFonts w:ascii="David" w:hAnsi="David"/>
                <w:sz w:val="26"/>
                <w:rtl/>
              </w:rPr>
              <w:t>"</w:t>
            </w:r>
            <w:r w:rsidRPr="00C47194">
              <w:rPr>
                <w:rFonts w:ascii="David" w:hAnsi="David" w:hint="eastAsia"/>
                <w:sz w:val="26"/>
                <w:rtl/>
              </w:rPr>
              <w:t>ו</w:t>
            </w:r>
            <w:r w:rsidRPr="00C47194">
              <w:rPr>
                <w:rFonts w:ascii="David" w:hAnsi="David"/>
                <w:sz w:val="26"/>
                <w:rtl/>
              </w:rPr>
              <w:t xml:space="preserve"> (30 </w:t>
            </w:r>
            <w:r w:rsidRPr="00C47194">
              <w:rPr>
                <w:rFonts w:ascii="David" w:hAnsi="David" w:hint="eastAsia"/>
                <w:sz w:val="26"/>
                <w:rtl/>
              </w:rPr>
              <w:t>באפריל</w:t>
            </w:r>
            <w:r w:rsidRPr="00C47194">
              <w:rPr>
                <w:rFonts w:ascii="David" w:hAnsi="David"/>
                <w:sz w:val="26"/>
                <w:rtl/>
              </w:rPr>
              <w:t xml:space="preserve"> 2026)</w:t>
            </w:r>
            <w:r w:rsidRPr="00C47194">
              <w:rPr>
                <w:rFonts w:ascii="David" w:hAnsi="David" w:hint="cs"/>
                <w:sz w:val="26"/>
                <w:rtl/>
              </w:rPr>
              <w:t>;</w:t>
            </w:r>
          </w:p>
        </w:tc>
      </w:tr>
      <w:tr w:rsidR="001908BB" w:rsidRPr="00C47194" w14:paraId="75A8B4AF" w14:textId="77777777" w:rsidTr="00FE12E5">
        <w:tblPrEx>
          <w:tblLook w:val="0000" w:firstRow="0" w:lastRow="0" w:firstColumn="0" w:lastColumn="0" w:noHBand="0" w:noVBand="0"/>
        </w:tblPrEx>
        <w:trPr>
          <w:gridAfter w:val="1"/>
          <w:wAfter w:w="25" w:type="dxa"/>
          <w:cantSplit/>
        </w:trPr>
        <w:tc>
          <w:tcPr>
            <w:tcW w:w="1583" w:type="dxa"/>
            <w:tcMar>
              <w:top w:w="91" w:type="dxa"/>
              <w:left w:w="0" w:type="dxa"/>
              <w:bottom w:w="91" w:type="dxa"/>
              <w:right w:w="0" w:type="dxa"/>
            </w:tcMar>
          </w:tcPr>
          <w:p w14:paraId="13556EBC" w14:textId="77777777" w:rsidR="001908BB" w:rsidRPr="00D04B16" w:rsidRDefault="001908BB" w:rsidP="001908BB">
            <w:pPr>
              <w:pStyle w:val="TableSideHeading"/>
              <w:outlineLvl w:val="9"/>
              <w:rPr>
                <w:rFonts w:ascii="David" w:hAnsi="David"/>
                <w:sz w:val="26"/>
                <w:rtl/>
              </w:rPr>
            </w:pPr>
          </w:p>
        </w:tc>
        <w:tc>
          <w:tcPr>
            <w:tcW w:w="283" w:type="dxa"/>
            <w:tcMar>
              <w:top w:w="91" w:type="dxa"/>
              <w:left w:w="0" w:type="dxa"/>
              <w:bottom w:w="91" w:type="dxa"/>
              <w:right w:w="0" w:type="dxa"/>
            </w:tcMar>
          </w:tcPr>
          <w:p w14:paraId="4F85DF96" w14:textId="77777777" w:rsidR="001908BB" w:rsidRPr="00D04B16" w:rsidRDefault="001908BB" w:rsidP="001908BB">
            <w:pPr>
              <w:pStyle w:val="TableText"/>
              <w:jc w:val="both"/>
              <w:rPr>
                <w:rFonts w:ascii="David" w:hAnsi="David"/>
                <w:sz w:val="26"/>
                <w:rtl/>
              </w:rPr>
            </w:pPr>
          </w:p>
        </w:tc>
        <w:tc>
          <w:tcPr>
            <w:tcW w:w="2395" w:type="dxa"/>
            <w:gridSpan w:val="3"/>
            <w:tcMar>
              <w:top w:w="91" w:type="dxa"/>
              <w:left w:w="0" w:type="dxa"/>
              <w:bottom w:w="91" w:type="dxa"/>
              <w:right w:w="0" w:type="dxa"/>
            </w:tcMar>
          </w:tcPr>
          <w:p w14:paraId="5DDF6DA9" w14:textId="77777777" w:rsidR="001908BB" w:rsidRPr="00D04B16" w:rsidRDefault="001908BB" w:rsidP="001908BB">
            <w:pPr>
              <w:pStyle w:val="TableInnerSideHeading"/>
              <w:rPr>
                <w:rtl/>
              </w:rPr>
            </w:pPr>
            <w:r w:rsidRPr="009F44F3">
              <w:rPr>
                <w:rFonts w:ascii="David" w:hAnsi="David"/>
                <w:sz w:val="26"/>
                <w:rtl/>
              </w:rPr>
              <w:t>הוראות מיוחדות לעניין תקופת האכשרה</w:t>
            </w:r>
          </w:p>
        </w:tc>
        <w:tc>
          <w:tcPr>
            <w:tcW w:w="730" w:type="dxa"/>
            <w:gridSpan w:val="3"/>
            <w:tcMar>
              <w:top w:w="91" w:type="dxa"/>
              <w:left w:w="0" w:type="dxa"/>
              <w:bottom w:w="91" w:type="dxa"/>
              <w:right w:w="0" w:type="dxa"/>
            </w:tcMar>
          </w:tcPr>
          <w:p w14:paraId="5F7EC303" w14:textId="3D2B803A" w:rsidR="001908BB" w:rsidRPr="00D04B16" w:rsidRDefault="001908BB" w:rsidP="001908BB">
            <w:pPr>
              <w:pStyle w:val="TableText"/>
              <w:rPr>
                <w:rFonts w:ascii="David" w:hAnsi="David"/>
                <w:sz w:val="26"/>
                <w:rtl/>
              </w:rPr>
            </w:pPr>
            <w:r w:rsidRPr="00D04B16">
              <w:rPr>
                <w:rFonts w:ascii="David" w:hAnsi="David"/>
                <w:sz w:val="26"/>
                <w:rtl/>
              </w:rPr>
              <w:t>179</w:t>
            </w:r>
            <w:r w:rsidRPr="00D04B16">
              <w:rPr>
                <w:rFonts w:ascii="David" w:hAnsi="David" w:hint="eastAsia"/>
                <w:sz w:val="26"/>
                <w:rtl/>
              </w:rPr>
              <w:t>כ</w:t>
            </w:r>
            <w:r>
              <w:rPr>
                <w:rFonts w:ascii="David" w:hAnsi="David" w:hint="cs"/>
                <w:sz w:val="26"/>
                <w:rtl/>
              </w:rPr>
              <w:t>ט</w:t>
            </w:r>
            <w:r w:rsidRPr="00D04B16">
              <w:rPr>
                <w:rFonts w:ascii="David" w:hAnsi="David"/>
                <w:sz w:val="26"/>
                <w:rtl/>
              </w:rPr>
              <w:t>.</w:t>
            </w:r>
          </w:p>
        </w:tc>
        <w:tc>
          <w:tcPr>
            <w:tcW w:w="4645" w:type="dxa"/>
            <w:gridSpan w:val="3"/>
            <w:tcMar>
              <w:top w:w="91" w:type="dxa"/>
              <w:left w:w="0" w:type="dxa"/>
              <w:bottom w:w="91" w:type="dxa"/>
              <w:right w:w="0" w:type="dxa"/>
            </w:tcMar>
          </w:tcPr>
          <w:p w14:paraId="1D0C2308" w14:textId="2A900EC2" w:rsidR="001908BB" w:rsidRPr="00C47194" w:rsidRDefault="001908BB" w:rsidP="00EC2DB0">
            <w:pPr>
              <w:pStyle w:val="TableBlock"/>
              <w:numPr>
                <w:ilvl w:val="0"/>
                <w:numId w:val="12"/>
              </w:numPr>
              <w:rPr>
                <w:rFonts w:ascii="David" w:hAnsi="David"/>
                <w:sz w:val="26"/>
                <w:rtl/>
              </w:rPr>
            </w:pPr>
            <w:r w:rsidRPr="00C47194">
              <w:rPr>
                <w:rFonts w:ascii="David" w:hAnsi="David"/>
                <w:sz w:val="26"/>
                <w:rtl/>
              </w:rPr>
              <w:t xml:space="preserve">על אף האמור בפרק זה, מבוטח שהופסקה העסקתו במהלך התקופה הקובעת ואינו זכאי לדמי אבטלה לפי פרק זה רק בשל כך שלא השלים תקופת אכשרה בת 12 חודשים כאמור בסעיף 161, אך צבר תקופת אכשרה כאמור באותו סעיף בת </w:t>
            </w:r>
            <w:r w:rsidR="005B785F">
              <w:rPr>
                <w:rFonts w:ascii="David" w:hAnsi="David" w:hint="cs"/>
                <w:sz w:val="26"/>
                <w:rtl/>
              </w:rPr>
              <w:t xml:space="preserve"> שישה</w:t>
            </w:r>
            <w:r w:rsidRPr="00C47194">
              <w:rPr>
                <w:rFonts w:ascii="David" w:hAnsi="David"/>
                <w:sz w:val="26"/>
                <w:rtl/>
              </w:rPr>
              <w:t xml:space="preserve"> חודשים לפחות, יהיה זכאי לדמי אבטלה לפי הוראות סעיף 171.</w:t>
            </w:r>
          </w:p>
        </w:tc>
      </w:tr>
      <w:tr w:rsidR="001908BB" w:rsidRPr="00D04B16" w14:paraId="2ECFA82E" w14:textId="77777777" w:rsidTr="00FE12E5">
        <w:tblPrEx>
          <w:tblLook w:val="0000" w:firstRow="0" w:lastRow="0" w:firstColumn="0" w:lastColumn="0" w:noHBand="0" w:noVBand="0"/>
        </w:tblPrEx>
        <w:trPr>
          <w:gridAfter w:val="1"/>
          <w:wAfter w:w="25" w:type="dxa"/>
          <w:cantSplit/>
        </w:trPr>
        <w:tc>
          <w:tcPr>
            <w:tcW w:w="1583" w:type="dxa"/>
            <w:tcMar>
              <w:top w:w="91" w:type="dxa"/>
              <w:left w:w="0" w:type="dxa"/>
              <w:bottom w:w="91" w:type="dxa"/>
              <w:right w:w="0" w:type="dxa"/>
            </w:tcMar>
          </w:tcPr>
          <w:p w14:paraId="3688A0FA" w14:textId="77777777" w:rsidR="001908BB" w:rsidRPr="00D04B16" w:rsidRDefault="001908BB" w:rsidP="001908BB">
            <w:pPr>
              <w:pStyle w:val="TableSideHeading"/>
              <w:outlineLvl w:val="9"/>
              <w:rPr>
                <w:rFonts w:ascii="David" w:hAnsi="David"/>
                <w:sz w:val="26"/>
                <w:rtl/>
              </w:rPr>
            </w:pPr>
          </w:p>
        </w:tc>
        <w:tc>
          <w:tcPr>
            <w:tcW w:w="283" w:type="dxa"/>
            <w:tcMar>
              <w:top w:w="91" w:type="dxa"/>
              <w:left w:w="0" w:type="dxa"/>
              <w:bottom w:w="91" w:type="dxa"/>
              <w:right w:w="0" w:type="dxa"/>
            </w:tcMar>
          </w:tcPr>
          <w:p w14:paraId="329455FC" w14:textId="77777777" w:rsidR="001908BB" w:rsidRPr="00D04B16" w:rsidRDefault="001908BB" w:rsidP="001908BB">
            <w:pPr>
              <w:pStyle w:val="TableText"/>
              <w:jc w:val="both"/>
              <w:rPr>
                <w:rFonts w:ascii="David" w:hAnsi="David"/>
                <w:sz w:val="26"/>
                <w:rtl/>
              </w:rPr>
            </w:pPr>
          </w:p>
        </w:tc>
        <w:tc>
          <w:tcPr>
            <w:tcW w:w="2395" w:type="dxa"/>
            <w:gridSpan w:val="3"/>
            <w:tcMar>
              <w:top w:w="91" w:type="dxa"/>
              <w:left w:w="0" w:type="dxa"/>
              <w:bottom w:w="91" w:type="dxa"/>
              <w:right w:w="0" w:type="dxa"/>
            </w:tcMar>
          </w:tcPr>
          <w:p w14:paraId="7FB3831A" w14:textId="77777777" w:rsidR="001908BB" w:rsidRPr="00D04B16" w:rsidRDefault="001908BB" w:rsidP="001908BB">
            <w:pPr>
              <w:rPr>
                <w:rtl/>
              </w:rPr>
            </w:pPr>
          </w:p>
        </w:tc>
        <w:tc>
          <w:tcPr>
            <w:tcW w:w="730" w:type="dxa"/>
            <w:gridSpan w:val="3"/>
            <w:tcMar>
              <w:top w:w="91" w:type="dxa"/>
              <w:left w:w="0" w:type="dxa"/>
              <w:bottom w:w="91" w:type="dxa"/>
              <w:right w:w="0" w:type="dxa"/>
            </w:tcMar>
          </w:tcPr>
          <w:p w14:paraId="24B9857E" w14:textId="77777777" w:rsidR="001908BB" w:rsidRPr="00D04B16" w:rsidRDefault="001908BB" w:rsidP="001908BB">
            <w:pPr>
              <w:pStyle w:val="TableText"/>
              <w:rPr>
                <w:rFonts w:ascii="David" w:hAnsi="David"/>
                <w:sz w:val="26"/>
                <w:rtl/>
              </w:rPr>
            </w:pPr>
          </w:p>
        </w:tc>
        <w:tc>
          <w:tcPr>
            <w:tcW w:w="4645" w:type="dxa"/>
            <w:gridSpan w:val="3"/>
            <w:tcMar>
              <w:top w:w="91" w:type="dxa"/>
              <w:left w:w="0" w:type="dxa"/>
              <w:bottom w:w="91" w:type="dxa"/>
              <w:right w:w="0" w:type="dxa"/>
            </w:tcMar>
          </w:tcPr>
          <w:p w14:paraId="7C42EECA" w14:textId="065341B2" w:rsidR="001908BB" w:rsidRPr="00D25F2F" w:rsidRDefault="001908BB" w:rsidP="00EC2DB0">
            <w:pPr>
              <w:pStyle w:val="TableBlock"/>
              <w:numPr>
                <w:ilvl w:val="0"/>
                <w:numId w:val="12"/>
              </w:numPr>
              <w:rPr>
                <w:rFonts w:ascii="David" w:hAnsi="David"/>
                <w:sz w:val="26"/>
                <w:rtl/>
              </w:rPr>
            </w:pPr>
            <w:r w:rsidRPr="003F4CE4">
              <w:rPr>
                <w:rFonts w:hint="eastAsia"/>
                <w:rtl/>
              </w:rPr>
              <w:t>מבוטח</w:t>
            </w:r>
            <w:r w:rsidRPr="003F4CE4">
              <w:rPr>
                <w:rtl/>
              </w:rPr>
              <w:t xml:space="preserve"> כאמור בסעיף קטן (א), שהוא </w:t>
            </w:r>
            <w:r>
              <w:rPr>
                <w:rFonts w:hint="cs"/>
                <w:rtl/>
              </w:rPr>
              <w:t xml:space="preserve">אדם עם מוגבלות, יהיה זכאי לדמי אבטלה </w:t>
            </w:r>
            <w:r w:rsidRPr="003F4CE4">
              <w:rPr>
                <w:rtl/>
              </w:rPr>
              <w:t>לפי הוראות סעיף 171</w:t>
            </w:r>
            <w:r>
              <w:rPr>
                <w:rFonts w:hint="cs"/>
                <w:rtl/>
              </w:rPr>
              <w:t>,</w:t>
            </w:r>
            <w:r>
              <w:rPr>
                <w:rtl/>
              </w:rPr>
              <w:t xml:space="preserve"> אם צבר תקופת אכשרה</w:t>
            </w:r>
            <w:r w:rsidRPr="003F4CE4">
              <w:rPr>
                <w:rtl/>
              </w:rPr>
              <w:t xml:space="preserve"> כאמור בסעיף קטן (א), בת שלושה חודשים לפחות</w:t>
            </w:r>
            <w:r>
              <w:rPr>
                <w:rFonts w:hint="cs"/>
                <w:rtl/>
              </w:rPr>
              <w:t xml:space="preserve">; בסעיף קטן זה, "אדם עם מוגבלות" </w:t>
            </w:r>
            <w:r>
              <w:rPr>
                <w:rtl/>
              </w:rPr>
              <w:t>–</w:t>
            </w:r>
            <w:r>
              <w:rPr>
                <w:rFonts w:hint="cs"/>
                <w:rtl/>
              </w:rPr>
              <w:t xml:space="preserve"> מי שמתקיים בו אחד מאלה לפחות</w:t>
            </w:r>
            <w:r w:rsidRPr="00D04B16">
              <w:rPr>
                <w:rFonts w:ascii="David" w:hAnsi="David"/>
                <w:sz w:val="26"/>
                <w:rtl/>
              </w:rPr>
              <w:t>.</w:t>
            </w:r>
          </w:p>
        </w:tc>
      </w:tr>
      <w:tr w:rsidR="001908BB" w14:paraId="5063C073" w14:textId="77777777" w:rsidTr="00FE12E5">
        <w:trPr>
          <w:cantSplit/>
          <w:trHeight w:val="60"/>
        </w:trPr>
        <w:tc>
          <w:tcPr>
            <w:tcW w:w="1583" w:type="dxa"/>
          </w:tcPr>
          <w:p w14:paraId="30D2ECE2" w14:textId="77777777" w:rsidR="001908BB" w:rsidRDefault="001908BB" w:rsidP="001908BB">
            <w:pPr>
              <w:pStyle w:val="TableSideHeading"/>
            </w:pPr>
          </w:p>
        </w:tc>
        <w:tc>
          <w:tcPr>
            <w:tcW w:w="283" w:type="dxa"/>
          </w:tcPr>
          <w:p w14:paraId="26D670A5" w14:textId="77777777" w:rsidR="001908BB" w:rsidRDefault="001908BB" w:rsidP="001908BB">
            <w:pPr>
              <w:pStyle w:val="TableText"/>
            </w:pPr>
          </w:p>
        </w:tc>
        <w:tc>
          <w:tcPr>
            <w:tcW w:w="1131" w:type="dxa"/>
          </w:tcPr>
          <w:p w14:paraId="0BAC3BEB" w14:textId="77777777" w:rsidR="001908BB" w:rsidRDefault="001908BB" w:rsidP="001908BB">
            <w:pPr>
              <w:pStyle w:val="TableText"/>
            </w:pPr>
          </w:p>
        </w:tc>
        <w:tc>
          <w:tcPr>
            <w:tcW w:w="709" w:type="dxa"/>
          </w:tcPr>
          <w:p w14:paraId="69834EE8" w14:textId="77777777" w:rsidR="001908BB" w:rsidRDefault="001908BB" w:rsidP="001908BB">
            <w:pPr>
              <w:pStyle w:val="TableText"/>
            </w:pPr>
          </w:p>
        </w:tc>
        <w:tc>
          <w:tcPr>
            <w:tcW w:w="687" w:type="dxa"/>
            <w:gridSpan w:val="3"/>
          </w:tcPr>
          <w:p w14:paraId="6D76FE62" w14:textId="77777777" w:rsidR="001908BB" w:rsidRDefault="001908BB" w:rsidP="001908BB">
            <w:pPr>
              <w:pStyle w:val="TableText"/>
            </w:pPr>
          </w:p>
        </w:tc>
        <w:tc>
          <w:tcPr>
            <w:tcW w:w="623" w:type="dxa"/>
            <w:gridSpan w:val="2"/>
          </w:tcPr>
          <w:p w14:paraId="0909E938" w14:textId="77777777" w:rsidR="001908BB" w:rsidRDefault="001908BB" w:rsidP="001908BB">
            <w:pPr>
              <w:pStyle w:val="TableText"/>
            </w:pPr>
          </w:p>
        </w:tc>
        <w:tc>
          <w:tcPr>
            <w:tcW w:w="623" w:type="dxa"/>
          </w:tcPr>
          <w:p w14:paraId="5C44C74F" w14:textId="77777777" w:rsidR="001908BB" w:rsidRDefault="001908BB" w:rsidP="001908BB">
            <w:pPr>
              <w:pStyle w:val="TableText"/>
            </w:pPr>
          </w:p>
        </w:tc>
        <w:tc>
          <w:tcPr>
            <w:tcW w:w="4022" w:type="dxa"/>
            <w:gridSpan w:val="2"/>
          </w:tcPr>
          <w:p w14:paraId="559F03DB" w14:textId="39909BE2" w:rsidR="001908BB" w:rsidRDefault="001908BB" w:rsidP="00EC2DB0">
            <w:pPr>
              <w:pStyle w:val="TableBlock"/>
              <w:numPr>
                <w:ilvl w:val="0"/>
                <w:numId w:val="8"/>
              </w:numPr>
              <w:tabs>
                <w:tab w:val="left" w:pos="624"/>
              </w:tabs>
            </w:pPr>
            <w:r>
              <w:rPr>
                <w:rFonts w:hint="cs"/>
                <w:rtl/>
              </w:rPr>
              <w:t>הוא זכאי לקצבה המנויה בהגדרה "קצבת נכה" שבהסכם לפי סעיף 9 לחוק הביטוח הלאומי בדבר תשלום מענק חד-פעמי בעד חודש אפריל 2020 למי שמשתלמות לו קצבאות מסוימות;</w:t>
            </w:r>
          </w:p>
        </w:tc>
      </w:tr>
      <w:tr w:rsidR="001908BB" w14:paraId="6258AA59" w14:textId="77777777" w:rsidTr="00FE12E5">
        <w:trPr>
          <w:cantSplit/>
          <w:trHeight w:val="60"/>
        </w:trPr>
        <w:tc>
          <w:tcPr>
            <w:tcW w:w="1583" w:type="dxa"/>
          </w:tcPr>
          <w:p w14:paraId="29B9B096" w14:textId="77777777" w:rsidR="001908BB" w:rsidRDefault="001908BB" w:rsidP="001908BB">
            <w:pPr>
              <w:pStyle w:val="TableSideHeading"/>
            </w:pPr>
          </w:p>
        </w:tc>
        <w:tc>
          <w:tcPr>
            <w:tcW w:w="283" w:type="dxa"/>
          </w:tcPr>
          <w:p w14:paraId="53B83EB6" w14:textId="77777777" w:rsidR="001908BB" w:rsidRDefault="001908BB" w:rsidP="001908BB">
            <w:pPr>
              <w:pStyle w:val="TableText"/>
            </w:pPr>
          </w:p>
        </w:tc>
        <w:tc>
          <w:tcPr>
            <w:tcW w:w="1131" w:type="dxa"/>
          </w:tcPr>
          <w:p w14:paraId="5E4AAC40" w14:textId="77777777" w:rsidR="001908BB" w:rsidRDefault="001908BB" w:rsidP="001908BB">
            <w:pPr>
              <w:pStyle w:val="TableText"/>
            </w:pPr>
          </w:p>
        </w:tc>
        <w:tc>
          <w:tcPr>
            <w:tcW w:w="709" w:type="dxa"/>
          </w:tcPr>
          <w:p w14:paraId="71BEEECF" w14:textId="77777777" w:rsidR="001908BB" w:rsidRDefault="001908BB" w:rsidP="001908BB">
            <w:pPr>
              <w:pStyle w:val="TableText"/>
            </w:pPr>
          </w:p>
        </w:tc>
        <w:tc>
          <w:tcPr>
            <w:tcW w:w="687" w:type="dxa"/>
            <w:gridSpan w:val="3"/>
          </w:tcPr>
          <w:p w14:paraId="44DC7A0E" w14:textId="77777777" w:rsidR="001908BB" w:rsidRDefault="001908BB" w:rsidP="001908BB">
            <w:pPr>
              <w:pStyle w:val="TableText"/>
            </w:pPr>
          </w:p>
        </w:tc>
        <w:tc>
          <w:tcPr>
            <w:tcW w:w="623" w:type="dxa"/>
            <w:gridSpan w:val="2"/>
          </w:tcPr>
          <w:p w14:paraId="5943327E" w14:textId="77777777" w:rsidR="001908BB" w:rsidRDefault="001908BB" w:rsidP="001908BB">
            <w:pPr>
              <w:pStyle w:val="TableText"/>
            </w:pPr>
          </w:p>
        </w:tc>
        <w:tc>
          <w:tcPr>
            <w:tcW w:w="623" w:type="dxa"/>
          </w:tcPr>
          <w:p w14:paraId="01F4E996" w14:textId="77777777" w:rsidR="001908BB" w:rsidRDefault="001908BB" w:rsidP="001908BB">
            <w:pPr>
              <w:pStyle w:val="TableText"/>
            </w:pPr>
          </w:p>
        </w:tc>
        <w:tc>
          <w:tcPr>
            <w:tcW w:w="4022" w:type="dxa"/>
            <w:gridSpan w:val="2"/>
          </w:tcPr>
          <w:p w14:paraId="2BB1E2DB" w14:textId="356D07BD" w:rsidR="001908BB" w:rsidRDefault="001908BB" w:rsidP="00EC2DB0">
            <w:pPr>
              <w:pStyle w:val="TableBlock"/>
              <w:numPr>
                <w:ilvl w:val="0"/>
                <w:numId w:val="8"/>
              </w:numPr>
              <w:tabs>
                <w:tab w:val="left" w:pos="624"/>
              </w:tabs>
              <w:rPr>
                <w:rtl/>
              </w:rPr>
            </w:pPr>
            <w:r>
              <w:rPr>
                <w:rFonts w:hint="cs"/>
                <w:rtl/>
              </w:rPr>
              <w:t>הוא זכאי לפטור ממס לפי סעיף 9(5)</w:t>
            </w:r>
            <w:r>
              <w:rPr>
                <w:rFonts w:hint="cs"/>
              </w:rPr>
              <w:t xml:space="preserve"> </w:t>
            </w:r>
            <w:r>
              <w:rPr>
                <w:rFonts w:hint="cs"/>
                <w:rtl/>
              </w:rPr>
              <w:t>לפקודת מס הכנסה.</w:t>
            </w:r>
          </w:p>
        </w:tc>
      </w:tr>
      <w:tr w:rsidR="001908BB" w:rsidRPr="00D04B16" w14:paraId="6E92B6BA" w14:textId="77777777" w:rsidTr="00FE12E5">
        <w:trPr>
          <w:cantSplit/>
        </w:trPr>
        <w:tc>
          <w:tcPr>
            <w:tcW w:w="1583" w:type="dxa"/>
          </w:tcPr>
          <w:p w14:paraId="204233B0" w14:textId="77777777" w:rsidR="001908BB" w:rsidRPr="00D04B16" w:rsidRDefault="001908BB" w:rsidP="001908BB">
            <w:pPr>
              <w:pStyle w:val="TableSideHeading"/>
              <w:outlineLvl w:val="9"/>
            </w:pPr>
          </w:p>
        </w:tc>
        <w:tc>
          <w:tcPr>
            <w:tcW w:w="283" w:type="dxa"/>
          </w:tcPr>
          <w:p w14:paraId="26C59791" w14:textId="77777777" w:rsidR="001908BB" w:rsidRPr="00D04B16" w:rsidRDefault="001908BB" w:rsidP="001908BB">
            <w:pPr>
              <w:pStyle w:val="TableText"/>
            </w:pPr>
          </w:p>
        </w:tc>
        <w:tc>
          <w:tcPr>
            <w:tcW w:w="1131" w:type="dxa"/>
          </w:tcPr>
          <w:p w14:paraId="05546B19" w14:textId="77777777" w:rsidR="001908BB" w:rsidRPr="00D04B16" w:rsidRDefault="001908BB" w:rsidP="001908BB">
            <w:pPr>
              <w:pStyle w:val="TableText"/>
            </w:pPr>
          </w:p>
        </w:tc>
        <w:tc>
          <w:tcPr>
            <w:tcW w:w="709" w:type="dxa"/>
          </w:tcPr>
          <w:p w14:paraId="129D5442" w14:textId="77777777" w:rsidR="001908BB" w:rsidRPr="00D04B16" w:rsidRDefault="001908BB" w:rsidP="001908BB">
            <w:pPr>
              <w:pStyle w:val="TableText"/>
            </w:pPr>
          </w:p>
        </w:tc>
        <w:tc>
          <w:tcPr>
            <w:tcW w:w="580" w:type="dxa"/>
            <w:gridSpan w:val="2"/>
          </w:tcPr>
          <w:p w14:paraId="38B627F7" w14:textId="77777777" w:rsidR="001908BB" w:rsidRPr="00D04B16" w:rsidRDefault="001908BB" w:rsidP="001908BB">
            <w:pPr>
              <w:pStyle w:val="TableText"/>
            </w:pPr>
          </w:p>
        </w:tc>
        <w:tc>
          <w:tcPr>
            <w:tcW w:w="730" w:type="dxa"/>
            <w:gridSpan w:val="3"/>
          </w:tcPr>
          <w:p w14:paraId="3F280D37" w14:textId="77777777" w:rsidR="001908BB" w:rsidRPr="00D04B16" w:rsidRDefault="001908BB" w:rsidP="001908BB">
            <w:pPr>
              <w:pStyle w:val="TableText"/>
            </w:pPr>
          </w:p>
        </w:tc>
        <w:tc>
          <w:tcPr>
            <w:tcW w:w="4645" w:type="dxa"/>
            <w:gridSpan w:val="3"/>
          </w:tcPr>
          <w:p w14:paraId="7E8FD2B0" w14:textId="1E95A2EA" w:rsidR="001908BB" w:rsidRPr="00D04B16" w:rsidRDefault="001908BB" w:rsidP="00EC2DB0">
            <w:pPr>
              <w:pStyle w:val="TableBlock"/>
              <w:numPr>
                <w:ilvl w:val="0"/>
                <w:numId w:val="12"/>
              </w:numPr>
              <w:rPr>
                <w:rFonts w:ascii="David" w:hAnsi="David"/>
                <w:sz w:val="26"/>
                <w:rtl/>
              </w:rPr>
            </w:pPr>
            <w:r w:rsidRPr="008B1D7E">
              <w:rPr>
                <w:rFonts w:hint="cs"/>
                <w:rtl/>
              </w:rPr>
              <w:t>לעניין מבוטח שהעסקתו הופסקה במהלך התקופה הקובעת, בסעיף 161(ג)(2)</w:t>
            </w:r>
            <w:r>
              <w:rPr>
                <w:rFonts w:hint="cs"/>
                <w:rtl/>
              </w:rPr>
              <w:t>,</w:t>
            </w:r>
            <w:r w:rsidRPr="008B1D7E">
              <w:rPr>
                <w:rFonts w:hint="cs"/>
                <w:rtl/>
              </w:rPr>
              <w:t xml:space="preserve"> במקום "שישה" יקראו "שלושה".</w:t>
            </w:r>
          </w:p>
        </w:tc>
      </w:tr>
      <w:tr w:rsidR="001908BB" w:rsidRPr="00D04B16" w14:paraId="599C12C8" w14:textId="77777777" w:rsidTr="00FE12E5">
        <w:tblPrEx>
          <w:tblLook w:val="0000" w:firstRow="0" w:lastRow="0" w:firstColumn="0" w:lastColumn="0" w:noHBand="0" w:noVBand="0"/>
        </w:tblPrEx>
        <w:trPr>
          <w:gridAfter w:val="1"/>
          <w:wAfter w:w="25" w:type="dxa"/>
          <w:cantSplit/>
        </w:trPr>
        <w:tc>
          <w:tcPr>
            <w:tcW w:w="1583" w:type="dxa"/>
            <w:tcMar>
              <w:top w:w="91" w:type="dxa"/>
              <w:left w:w="0" w:type="dxa"/>
              <w:bottom w:w="91" w:type="dxa"/>
              <w:right w:w="0" w:type="dxa"/>
            </w:tcMar>
          </w:tcPr>
          <w:p w14:paraId="578B3447" w14:textId="77777777" w:rsidR="001908BB" w:rsidRPr="00D04B16" w:rsidRDefault="001908BB" w:rsidP="001908BB">
            <w:pPr>
              <w:pStyle w:val="TableSideHeading"/>
              <w:outlineLvl w:val="9"/>
              <w:rPr>
                <w:rtl/>
              </w:rPr>
            </w:pPr>
          </w:p>
        </w:tc>
        <w:tc>
          <w:tcPr>
            <w:tcW w:w="283" w:type="dxa"/>
            <w:tcMar>
              <w:top w:w="91" w:type="dxa"/>
              <w:left w:w="0" w:type="dxa"/>
              <w:bottom w:w="91" w:type="dxa"/>
              <w:right w:w="0" w:type="dxa"/>
            </w:tcMar>
          </w:tcPr>
          <w:p w14:paraId="12617B30" w14:textId="77777777" w:rsidR="001908BB" w:rsidRPr="00D04B16" w:rsidRDefault="001908BB" w:rsidP="001908BB">
            <w:pPr>
              <w:pStyle w:val="TableText"/>
              <w:jc w:val="both"/>
              <w:rPr>
                <w:rFonts w:ascii="David" w:hAnsi="David"/>
                <w:sz w:val="26"/>
                <w:rtl/>
              </w:rPr>
            </w:pPr>
          </w:p>
        </w:tc>
        <w:tc>
          <w:tcPr>
            <w:tcW w:w="2395" w:type="dxa"/>
            <w:gridSpan w:val="3"/>
            <w:tcMar>
              <w:top w:w="91" w:type="dxa"/>
              <w:left w:w="0" w:type="dxa"/>
              <w:bottom w:w="91" w:type="dxa"/>
              <w:right w:w="0" w:type="dxa"/>
            </w:tcMar>
          </w:tcPr>
          <w:p w14:paraId="40BF896C" w14:textId="7FFAE7D2" w:rsidR="001908BB" w:rsidRPr="00D04B16" w:rsidRDefault="001908BB" w:rsidP="001908BB">
            <w:pPr>
              <w:pStyle w:val="TableText"/>
              <w:jc w:val="both"/>
              <w:rPr>
                <w:rtl/>
              </w:rPr>
            </w:pPr>
            <w:r w:rsidRPr="009F44F3">
              <w:rPr>
                <w:sz w:val="26"/>
                <w:rtl/>
              </w:rPr>
              <w:t>הארכת תקופת התשלום המרבית לדמי אבטלה</w:t>
            </w:r>
          </w:p>
        </w:tc>
        <w:tc>
          <w:tcPr>
            <w:tcW w:w="730" w:type="dxa"/>
            <w:gridSpan w:val="3"/>
            <w:tcMar>
              <w:top w:w="91" w:type="dxa"/>
              <w:left w:w="0" w:type="dxa"/>
              <w:bottom w:w="91" w:type="dxa"/>
              <w:right w:w="0" w:type="dxa"/>
            </w:tcMar>
          </w:tcPr>
          <w:p w14:paraId="0F07DBCA" w14:textId="0A4C5CF9" w:rsidR="001908BB" w:rsidRPr="00D04B16" w:rsidRDefault="001908BB" w:rsidP="001908BB">
            <w:pPr>
              <w:pStyle w:val="TableText"/>
              <w:rPr>
                <w:rFonts w:ascii="David" w:hAnsi="David"/>
                <w:spacing w:val="-6"/>
                <w:sz w:val="26"/>
                <w:rtl/>
              </w:rPr>
            </w:pPr>
            <w:r>
              <w:rPr>
                <w:rFonts w:ascii="David" w:hAnsi="David" w:hint="cs"/>
                <w:sz w:val="26"/>
                <w:rtl/>
              </w:rPr>
              <w:t>179ל.</w:t>
            </w:r>
          </w:p>
        </w:tc>
        <w:tc>
          <w:tcPr>
            <w:tcW w:w="4645" w:type="dxa"/>
            <w:gridSpan w:val="3"/>
            <w:tcMar>
              <w:top w:w="91" w:type="dxa"/>
              <w:left w:w="0" w:type="dxa"/>
              <w:bottom w:w="91" w:type="dxa"/>
              <w:right w:w="0" w:type="dxa"/>
            </w:tcMar>
          </w:tcPr>
          <w:p w14:paraId="3B8788E8" w14:textId="2D665585" w:rsidR="001908BB" w:rsidRPr="00D04B16" w:rsidRDefault="001908BB" w:rsidP="001908BB">
            <w:pPr>
              <w:pStyle w:val="TableBlock"/>
              <w:rPr>
                <w:rtl/>
              </w:rPr>
            </w:pPr>
            <w:r w:rsidRPr="00D1245E">
              <w:rPr>
                <w:rFonts w:hint="cs"/>
                <w:sz w:val="26"/>
                <w:rtl/>
              </w:rPr>
              <w:t xml:space="preserve">על אף הוראות פרק זה, מבוטח </w:t>
            </w:r>
            <w:r w:rsidRPr="00B75997">
              <w:rPr>
                <w:rFonts w:hint="eastAsia"/>
                <w:sz w:val="26"/>
                <w:rtl/>
              </w:rPr>
              <w:t>שהעסקתו</w:t>
            </w:r>
            <w:r w:rsidRPr="00B75997">
              <w:rPr>
                <w:sz w:val="26"/>
                <w:rtl/>
              </w:rPr>
              <w:t xml:space="preserve"> </w:t>
            </w:r>
            <w:r w:rsidRPr="00B75997">
              <w:rPr>
                <w:rFonts w:hint="eastAsia"/>
                <w:sz w:val="26"/>
                <w:rtl/>
              </w:rPr>
              <w:t>הופסקה</w:t>
            </w:r>
            <w:r w:rsidRPr="00B75997">
              <w:rPr>
                <w:sz w:val="26"/>
                <w:rtl/>
              </w:rPr>
              <w:t xml:space="preserve"> </w:t>
            </w:r>
            <w:r w:rsidRPr="00D1245E">
              <w:rPr>
                <w:rFonts w:hint="cs"/>
                <w:sz w:val="26"/>
                <w:rtl/>
              </w:rPr>
              <w:t>בתקופה הקובעת ואינו זכאי לדמי אבטלה לפי פרק זה רק בש</w:t>
            </w:r>
            <w:r w:rsidRPr="00D1245E">
              <w:rPr>
                <w:rFonts w:hint="eastAsia"/>
                <w:sz w:val="26"/>
                <w:rtl/>
              </w:rPr>
              <w:t>ל</w:t>
            </w:r>
            <w:r w:rsidRPr="00D1245E">
              <w:rPr>
                <w:sz w:val="26"/>
                <w:rtl/>
              </w:rPr>
              <w:t xml:space="preserve"> כך שתקופת התשלום המרבית הקבועה לגביו לפי סעיף 171</w:t>
            </w:r>
            <w:r w:rsidRPr="00D1245E">
              <w:rPr>
                <w:rFonts w:hint="eastAsia"/>
                <w:sz w:val="26"/>
                <w:rtl/>
              </w:rPr>
              <w:t>א</w:t>
            </w:r>
            <w:r w:rsidRPr="00D1245E">
              <w:rPr>
                <w:sz w:val="26"/>
                <w:rtl/>
              </w:rPr>
              <w:t xml:space="preserve"> הסתיימה לפני התקופה הקובעת או במהלכה, והתאריך הקובע לגביו חל בתקופה הקובעת, יהיה זכאי לדמי אבטלה בהתאם להוראות פרק זה</w:t>
            </w:r>
            <w:r>
              <w:rPr>
                <w:rFonts w:hint="cs"/>
                <w:sz w:val="26"/>
                <w:rtl/>
              </w:rPr>
              <w:t xml:space="preserve"> בעד הימים שבהם לא היה מועסק במהלך התקופה הקובעת</w:t>
            </w:r>
            <w:r w:rsidRPr="00D1245E">
              <w:rPr>
                <w:sz w:val="26"/>
                <w:rtl/>
              </w:rPr>
              <w:t>.</w:t>
            </w:r>
          </w:p>
        </w:tc>
      </w:tr>
      <w:tr w:rsidR="001908BB" w:rsidRPr="00D04B16" w14:paraId="53D6AB60" w14:textId="77777777" w:rsidTr="00FE12E5">
        <w:tblPrEx>
          <w:tblLook w:val="0000" w:firstRow="0" w:lastRow="0" w:firstColumn="0" w:lastColumn="0" w:noHBand="0" w:noVBand="0"/>
        </w:tblPrEx>
        <w:trPr>
          <w:gridAfter w:val="1"/>
          <w:wAfter w:w="25" w:type="dxa"/>
          <w:cantSplit/>
        </w:trPr>
        <w:tc>
          <w:tcPr>
            <w:tcW w:w="1583" w:type="dxa"/>
            <w:tcMar>
              <w:top w:w="91" w:type="dxa"/>
              <w:left w:w="0" w:type="dxa"/>
              <w:bottom w:w="91" w:type="dxa"/>
              <w:right w:w="0" w:type="dxa"/>
            </w:tcMar>
          </w:tcPr>
          <w:p w14:paraId="53896F14" w14:textId="77777777" w:rsidR="001908BB" w:rsidRPr="00D04B16" w:rsidRDefault="001908BB" w:rsidP="001908BB">
            <w:pPr>
              <w:pStyle w:val="TableSideHeading"/>
              <w:outlineLvl w:val="9"/>
              <w:rPr>
                <w:rFonts w:ascii="David" w:hAnsi="David"/>
                <w:sz w:val="26"/>
                <w:rtl/>
              </w:rPr>
            </w:pPr>
          </w:p>
        </w:tc>
        <w:tc>
          <w:tcPr>
            <w:tcW w:w="283" w:type="dxa"/>
            <w:tcMar>
              <w:top w:w="91" w:type="dxa"/>
              <w:left w:w="0" w:type="dxa"/>
              <w:bottom w:w="91" w:type="dxa"/>
              <w:right w:w="0" w:type="dxa"/>
            </w:tcMar>
          </w:tcPr>
          <w:p w14:paraId="5A7725BC" w14:textId="77777777" w:rsidR="001908BB" w:rsidRPr="00D04B16" w:rsidRDefault="001908BB" w:rsidP="001908BB">
            <w:pPr>
              <w:pStyle w:val="TableText"/>
              <w:jc w:val="both"/>
              <w:rPr>
                <w:rFonts w:ascii="David" w:hAnsi="David"/>
                <w:sz w:val="26"/>
                <w:rtl/>
              </w:rPr>
            </w:pPr>
          </w:p>
        </w:tc>
        <w:tc>
          <w:tcPr>
            <w:tcW w:w="2395" w:type="dxa"/>
            <w:gridSpan w:val="3"/>
            <w:tcMar>
              <w:top w:w="91" w:type="dxa"/>
              <w:left w:w="0" w:type="dxa"/>
              <w:bottom w:w="91" w:type="dxa"/>
              <w:right w:w="0" w:type="dxa"/>
            </w:tcMar>
          </w:tcPr>
          <w:p w14:paraId="27EF847A" w14:textId="278C217D" w:rsidR="001908BB" w:rsidRPr="009F44F3" w:rsidRDefault="001908BB" w:rsidP="001908BB">
            <w:pPr>
              <w:pStyle w:val="TableText"/>
              <w:jc w:val="both"/>
              <w:rPr>
                <w:sz w:val="26"/>
                <w:rtl/>
              </w:rPr>
            </w:pPr>
            <w:r w:rsidRPr="009F44F3">
              <w:rPr>
                <w:sz w:val="26"/>
                <w:rtl/>
              </w:rPr>
              <w:t>תחילת תשלום דמי האבטלה</w:t>
            </w:r>
          </w:p>
        </w:tc>
        <w:tc>
          <w:tcPr>
            <w:tcW w:w="730" w:type="dxa"/>
            <w:gridSpan w:val="3"/>
            <w:tcMar>
              <w:top w:w="91" w:type="dxa"/>
              <w:left w:w="0" w:type="dxa"/>
              <w:bottom w:w="91" w:type="dxa"/>
              <w:right w:w="0" w:type="dxa"/>
            </w:tcMar>
          </w:tcPr>
          <w:p w14:paraId="2AB9F45E" w14:textId="45ED73FA" w:rsidR="001908BB" w:rsidRPr="009F44F3" w:rsidRDefault="001908BB" w:rsidP="001908BB">
            <w:pPr>
              <w:pStyle w:val="TableText"/>
              <w:jc w:val="both"/>
              <w:rPr>
                <w:sz w:val="26"/>
                <w:rtl/>
              </w:rPr>
            </w:pPr>
            <w:r w:rsidRPr="009F44F3">
              <w:rPr>
                <w:sz w:val="26"/>
                <w:rtl/>
              </w:rPr>
              <w:t>179</w:t>
            </w:r>
            <w:r w:rsidRPr="009F44F3">
              <w:rPr>
                <w:rFonts w:hint="cs"/>
                <w:sz w:val="26"/>
                <w:rtl/>
              </w:rPr>
              <w:t>לא</w:t>
            </w:r>
            <w:r w:rsidRPr="009F44F3">
              <w:rPr>
                <w:sz w:val="26"/>
                <w:rtl/>
              </w:rPr>
              <w:t>.</w:t>
            </w:r>
          </w:p>
        </w:tc>
        <w:tc>
          <w:tcPr>
            <w:tcW w:w="4645" w:type="dxa"/>
            <w:gridSpan w:val="3"/>
            <w:tcMar>
              <w:top w:w="91" w:type="dxa"/>
              <w:left w:w="0" w:type="dxa"/>
              <w:bottom w:w="91" w:type="dxa"/>
              <w:right w:w="0" w:type="dxa"/>
            </w:tcMar>
          </w:tcPr>
          <w:p w14:paraId="3AE08EE5" w14:textId="44188E84" w:rsidR="001908BB" w:rsidRPr="00D04B16" w:rsidRDefault="001908BB" w:rsidP="001908BB">
            <w:pPr>
              <w:pStyle w:val="TableBlock"/>
              <w:rPr>
                <w:rFonts w:ascii="David" w:hAnsi="David"/>
                <w:sz w:val="26"/>
                <w:rtl/>
              </w:rPr>
            </w:pPr>
            <w:r w:rsidRPr="00D25F2F">
              <w:rPr>
                <w:rFonts w:ascii="David" w:hAnsi="David"/>
                <w:sz w:val="26"/>
                <w:rtl/>
              </w:rPr>
              <w:t>לעניין תשלום דמי אבטלה בעד התקופה הקובעת, יקראו את סעיף 172 כך שבסופו יבוא "למעט בתקופה הראשונה שחלה בתקופה הקובעת".</w:t>
            </w:r>
          </w:p>
        </w:tc>
      </w:tr>
      <w:tr w:rsidR="001908BB" w:rsidRPr="00D04B16" w14:paraId="79697B9A" w14:textId="77777777" w:rsidTr="00FE12E5">
        <w:tblPrEx>
          <w:tblLook w:val="0000" w:firstRow="0" w:lastRow="0" w:firstColumn="0" w:lastColumn="0" w:noHBand="0" w:noVBand="0"/>
        </w:tblPrEx>
        <w:trPr>
          <w:gridAfter w:val="1"/>
          <w:wAfter w:w="25" w:type="dxa"/>
          <w:cantSplit/>
        </w:trPr>
        <w:tc>
          <w:tcPr>
            <w:tcW w:w="1583" w:type="dxa"/>
            <w:tcMar>
              <w:top w:w="91" w:type="dxa"/>
              <w:left w:w="0" w:type="dxa"/>
              <w:bottom w:w="91" w:type="dxa"/>
              <w:right w:w="0" w:type="dxa"/>
            </w:tcMar>
          </w:tcPr>
          <w:p w14:paraId="0D00D61C" w14:textId="77777777" w:rsidR="001908BB" w:rsidRPr="00D04B16" w:rsidRDefault="001908BB" w:rsidP="001908BB">
            <w:pPr>
              <w:pStyle w:val="TableSideHeading"/>
              <w:outlineLvl w:val="9"/>
              <w:rPr>
                <w:rFonts w:ascii="David" w:hAnsi="David"/>
                <w:sz w:val="26"/>
                <w:rtl/>
              </w:rPr>
            </w:pPr>
          </w:p>
        </w:tc>
        <w:tc>
          <w:tcPr>
            <w:tcW w:w="283" w:type="dxa"/>
            <w:tcMar>
              <w:top w:w="91" w:type="dxa"/>
              <w:left w:w="0" w:type="dxa"/>
              <w:bottom w:w="91" w:type="dxa"/>
              <w:right w:w="0" w:type="dxa"/>
            </w:tcMar>
          </w:tcPr>
          <w:p w14:paraId="7422B028" w14:textId="77777777" w:rsidR="001908BB" w:rsidRPr="00D04B16" w:rsidRDefault="001908BB" w:rsidP="001908BB">
            <w:pPr>
              <w:pStyle w:val="TableText"/>
              <w:jc w:val="both"/>
              <w:rPr>
                <w:rFonts w:ascii="David" w:hAnsi="David"/>
                <w:sz w:val="26"/>
                <w:rtl/>
              </w:rPr>
            </w:pPr>
          </w:p>
        </w:tc>
        <w:tc>
          <w:tcPr>
            <w:tcW w:w="2395" w:type="dxa"/>
            <w:gridSpan w:val="3"/>
            <w:tcMar>
              <w:top w:w="91" w:type="dxa"/>
              <w:left w:w="0" w:type="dxa"/>
              <w:bottom w:w="91" w:type="dxa"/>
              <w:right w:w="0" w:type="dxa"/>
            </w:tcMar>
          </w:tcPr>
          <w:p w14:paraId="71CCF360" w14:textId="22862DFF" w:rsidR="001908BB" w:rsidRPr="009F44F3" w:rsidRDefault="001908BB" w:rsidP="001908BB">
            <w:pPr>
              <w:pStyle w:val="TableText"/>
              <w:jc w:val="both"/>
              <w:rPr>
                <w:sz w:val="26"/>
                <w:rtl/>
              </w:rPr>
            </w:pPr>
            <w:r w:rsidRPr="00D25F2F">
              <w:rPr>
                <w:rFonts w:ascii="David" w:hAnsi="David"/>
                <w:sz w:val="26"/>
                <w:rtl/>
              </w:rPr>
              <w:t>סייג לתחולה</w:t>
            </w:r>
          </w:p>
        </w:tc>
        <w:tc>
          <w:tcPr>
            <w:tcW w:w="730" w:type="dxa"/>
            <w:gridSpan w:val="3"/>
            <w:tcMar>
              <w:top w:w="91" w:type="dxa"/>
              <w:left w:w="0" w:type="dxa"/>
              <w:bottom w:w="91" w:type="dxa"/>
              <w:right w:w="0" w:type="dxa"/>
            </w:tcMar>
          </w:tcPr>
          <w:p w14:paraId="5EA1AC06" w14:textId="109F6369" w:rsidR="001908BB" w:rsidRPr="009F44F3" w:rsidRDefault="001908BB" w:rsidP="001908BB">
            <w:pPr>
              <w:pStyle w:val="TableText"/>
              <w:jc w:val="both"/>
              <w:rPr>
                <w:sz w:val="26"/>
                <w:rtl/>
              </w:rPr>
            </w:pPr>
            <w:r w:rsidRPr="00E97292">
              <w:rPr>
                <w:rFonts w:ascii="David" w:hAnsi="David"/>
                <w:spacing w:val="-22"/>
                <w:sz w:val="26"/>
                <w:rtl/>
              </w:rPr>
              <w:t>179</w:t>
            </w:r>
            <w:r>
              <w:rPr>
                <w:rFonts w:ascii="David" w:hAnsi="David" w:hint="cs"/>
                <w:spacing w:val="-22"/>
                <w:sz w:val="26"/>
                <w:rtl/>
              </w:rPr>
              <w:t>לב</w:t>
            </w:r>
            <w:r w:rsidRPr="00E97292">
              <w:rPr>
                <w:rFonts w:ascii="David" w:hAnsi="David"/>
                <w:spacing w:val="-22"/>
                <w:sz w:val="26"/>
                <w:rtl/>
              </w:rPr>
              <w:t>.</w:t>
            </w:r>
          </w:p>
        </w:tc>
        <w:tc>
          <w:tcPr>
            <w:tcW w:w="4645" w:type="dxa"/>
            <w:gridSpan w:val="3"/>
            <w:tcMar>
              <w:top w:w="91" w:type="dxa"/>
              <w:left w:w="0" w:type="dxa"/>
              <w:bottom w:w="91" w:type="dxa"/>
              <w:right w:w="0" w:type="dxa"/>
            </w:tcMar>
          </w:tcPr>
          <w:p w14:paraId="7B514FA6" w14:textId="439BEE85" w:rsidR="001908BB" w:rsidRPr="00D25F2F" w:rsidRDefault="001908BB" w:rsidP="001908BB">
            <w:pPr>
              <w:pStyle w:val="TableBlock"/>
              <w:rPr>
                <w:rFonts w:ascii="David" w:hAnsi="David"/>
                <w:sz w:val="26"/>
                <w:rtl/>
              </w:rPr>
            </w:pPr>
            <w:r w:rsidRPr="00D25F2F">
              <w:rPr>
                <w:rFonts w:ascii="David" w:hAnsi="David"/>
                <w:sz w:val="26"/>
                <w:rtl/>
              </w:rPr>
              <w:t>הוראות סעיף 320(ז)(4ב) לא יחולו לעניין תשלום דמי אבטלה בעד התקופה הקובעת."</w:t>
            </w:r>
          </w:p>
        </w:tc>
      </w:tr>
      <w:tr w:rsidR="001908BB" w:rsidRPr="00D04B16" w14:paraId="63BEFC96" w14:textId="77777777" w:rsidTr="00FE12E5">
        <w:tblPrEx>
          <w:tblLook w:val="0000" w:firstRow="0" w:lastRow="0" w:firstColumn="0" w:lastColumn="0" w:noHBand="0" w:noVBand="0"/>
        </w:tblPrEx>
        <w:trPr>
          <w:gridAfter w:val="1"/>
          <w:wAfter w:w="25" w:type="dxa"/>
          <w:cantSplit/>
        </w:trPr>
        <w:tc>
          <w:tcPr>
            <w:tcW w:w="1583" w:type="dxa"/>
            <w:tcMar>
              <w:top w:w="91" w:type="dxa"/>
              <w:left w:w="0" w:type="dxa"/>
              <w:bottom w:w="91" w:type="dxa"/>
              <w:right w:w="0" w:type="dxa"/>
            </w:tcMar>
          </w:tcPr>
          <w:p w14:paraId="6D7966F3" w14:textId="72888B91" w:rsidR="001908BB" w:rsidRPr="00D04B16" w:rsidRDefault="001908BB" w:rsidP="0039028E">
            <w:pPr>
              <w:pStyle w:val="TableSideHeading"/>
              <w:outlineLvl w:val="9"/>
              <w:rPr>
                <w:rtl/>
              </w:rPr>
            </w:pPr>
            <w:bookmarkStart w:id="23" w:name="_Toc201873211"/>
            <w:bookmarkStart w:id="24" w:name="_Toc201873241"/>
            <w:bookmarkStart w:id="25" w:name="_Toc224817845"/>
            <w:r w:rsidRPr="00D04B16">
              <w:rPr>
                <w:rtl/>
              </w:rPr>
              <w:t>שיפוי המוסד לביטוח לאומי</w:t>
            </w:r>
            <w:bookmarkEnd w:id="23"/>
            <w:bookmarkEnd w:id="24"/>
            <w:bookmarkEnd w:id="25"/>
          </w:p>
        </w:tc>
        <w:tc>
          <w:tcPr>
            <w:tcW w:w="283" w:type="dxa"/>
            <w:tcMar>
              <w:top w:w="91" w:type="dxa"/>
              <w:left w:w="0" w:type="dxa"/>
              <w:bottom w:w="91" w:type="dxa"/>
              <w:right w:w="0" w:type="dxa"/>
            </w:tcMar>
          </w:tcPr>
          <w:p w14:paraId="656F79C0" w14:textId="4A505B3E" w:rsidR="001908BB" w:rsidRPr="00D04B16" w:rsidRDefault="001908BB" w:rsidP="00EC2DB0">
            <w:pPr>
              <w:pStyle w:val="TableText"/>
              <w:numPr>
                <w:ilvl w:val="0"/>
                <w:numId w:val="13"/>
              </w:numPr>
              <w:rPr>
                <w:rFonts w:ascii="David" w:hAnsi="David"/>
                <w:sz w:val="26"/>
                <w:rtl/>
              </w:rPr>
            </w:pPr>
          </w:p>
        </w:tc>
        <w:tc>
          <w:tcPr>
            <w:tcW w:w="7770" w:type="dxa"/>
            <w:gridSpan w:val="9"/>
            <w:tcMar>
              <w:top w:w="91" w:type="dxa"/>
              <w:left w:w="0" w:type="dxa"/>
              <w:bottom w:w="91" w:type="dxa"/>
              <w:right w:w="0" w:type="dxa"/>
            </w:tcMar>
          </w:tcPr>
          <w:p w14:paraId="009EB629" w14:textId="7B19F1AE" w:rsidR="001908BB" w:rsidRPr="00D04B16" w:rsidRDefault="001908BB" w:rsidP="001908BB">
            <w:pPr>
              <w:pStyle w:val="TableBlock"/>
              <w:rPr>
                <w:rFonts w:ascii="David" w:hAnsi="David"/>
                <w:sz w:val="26"/>
                <w:rtl/>
              </w:rPr>
            </w:pPr>
            <w:r w:rsidRPr="00D04B16">
              <w:rPr>
                <w:rFonts w:ascii="David" w:hAnsi="David"/>
                <w:sz w:val="26"/>
                <w:rtl/>
              </w:rPr>
              <w:t xml:space="preserve">אוצר המדינה ישפה את המוסד לביטוח לאומי לגבי כל סכום שהוצא </w:t>
            </w:r>
            <w:r w:rsidRPr="00D04B16">
              <w:rPr>
                <w:rFonts w:ascii="David" w:hAnsi="David" w:hint="cs"/>
                <w:sz w:val="26"/>
                <w:rtl/>
              </w:rPr>
              <w:t>בשל</w:t>
            </w:r>
            <w:r w:rsidRPr="00D04B16">
              <w:rPr>
                <w:rFonts w:ascii="David" w:hAnsi="David"/>
                <w:sz w:val="26"/>
                <w:rtl/>
              </w:rPr>
              <w:t xml:space="preserve"> כל גמלה או תוספת גמלה המשתלמת לפי הוראות </w:t>
            </w:r>
            <w:r w:rsidRPr="00D04B16">
              <w:rPr>
                <w:rFonts w:ascii="David" w:hAnsi="David" w:hint="cs"/>
                <w:sz w:val="26"/>
                <w:rtl/>
              </w:rPr>
              <w:t>חוק הביטוח הלאומי</w:t>
            </w:r>
            <w:r w:rsidRPr="00D04B16">
              <w:rPr>
                <w:rFonts w:ascii="David" w:hAnsi="David"/>
                <w:sz w:val="26"/>
                <w:rtl/>
              </w:rPr>
              <w:t xml:space="preserve"> כנוסחו </w:t>
            </w:r>
            <w:r w:rsidRPr="00D04B16">
              <w:rPr>
                <w:rFonts w:ascii="David" w:hAnsi="David" w:hint="eastAsia"/>
                <w:sz w:val="26"/>
                <w:rtl/>
              </w:rPr>
              <w:t>בסעיף</w:t>
            </w:r>
            <w:r w:rsidRPr="00D04B16">
              <w:rPr>
                <w:rFonts w:ascii="David" w:hAnsi="David"/>
                <w:sz w:val="26"/>
                <w:rtl/>
              </w:rPr>
              <w:t xml:space="preserve"> </w:t>
            </w:r>
            <w:r w:rsidR="008008BE">
              <w:rPr>
                <w:rFonts w:ascii="David" w:hAnsi="David" w:hint="cs"/>
                <w:sz w:val="26"/>
                <w:rtl/>
              </w:rPr>
              <w:t>1</w:t>
            </w:r>
            <w:r w:rsidRPr="00D04B16">
              <w:rPr>
                <w:rFonts w:ascii="David" w:hAnsi="David" w:hint="cs"/>
                <w:sz w:val="26"/>
                <w:rtl/>
              </w:rPr>
              <w:t xml:space="preserve"> ל</w:t>
            </w:r>
            <w:r w:rsidRPr="00D04B16">
              <w:rPr>
                <w:rFonts w:ascii="David" w:hAnsi="David"/>
                <w:sz w:val="26"/>
                <w:rtl/>
              </w:rPr>
              <w:t>חוק זה</w:t>
            </w:r>
            <w:r w:rsidRPr="00D04B16">
              <w:rPr>
                <w:rFonts w:ascii="David" w:hAnsi="David" w:hint="cs"/>
                <w:sz w:val="26"/>
                <w:rtl/>
              </w:rPr>
              <w:t xml:space="preserve"> </w:t>
            </w:r>
            <w:r w:rsidRPr="00D04B16">
              <w:rPr>
                <w:rFonts w:ascii="David" w:hAnsi="David" w:hint="eastAsia"/>
                <w:sz w:val="26"/>
                <w:rtl/>
              </w:rPr>
              <w:t>ושלא</w:t>
            </w:r>
            <w:r w:rsidRPr="00D04B16">
              <w:rPr>
                <w:rFonts w:ascii="David" w:hAnsi="David"/>
                <w:sz w:val="26"/>
                <w:rtl/>
              </w:rPr>
              <w:t xml:space="preserve"> הייתה משתלמת אלמלא </w:t>
            </w:r>
            <w:r w:rsidRPr="00D04B16">
              <w:rPr>
                <w:rFonts w:ascii="David" w:hAnsi="David" w:hint="cs"/>
                <w:sz w:val="26"/>
                <w:rtl/>
              </w:rPr>
              <w:t>ה</w:t>
            </w:r>
            <w:r w:rsidRPr="00D04B16">
              <w:rPr>
                <w:rFonts w:ascii="David" w:hAnsi="David"/>
                <w:sz w:val="26"/>
                <w:rtl/>
              </w:rPr>
              <w:t xml:space="preserve">הוראות </w:t>
            </w:r>
            <w:r w:rsidRPr="00D04B16">
              <w:rPr>
                <w:rFonts w:ascii="David" w:hAnsi="David" w:hint="cs"/>
                <w:sz w:val="26"/>
                <w:rtl/>
              </w:rPr>
              <w:t>כאמור.</w:t>
            </w:r>
          </w:p>
        </w:tc>
      </w:tr>
      <w:tr w:rsidR="001908BB" w:rsidRPr="00D04B16" w14:paraId="30F50526" w14:textId="77777777" w:rsidTr="00FE12E5">
        <w:tblPrEx>
          <w:tblLook w:val="0000" w:firstRow="0" w:lastRow="0" w:firstColumn="0" w:lastColumn="0" w:noHBand="0" w:noVBand="0"/>
        </w:tblPrEx>
        <w:trPr>
          <w:gridAfter w:val="1"/>
          <w:wAfter w:w="25" w:type="dxa"/>
          <w:cantSplit/>
        </w:trPr>
        <w:tc>
          <w:tcPr>
            <w:tcW w:w="1583" w:type="dxa"/>
            <w:tcMar>
              <w:top w:w="91" w:type="dxa"/>
              <w:left w:w="0" w:type="dxa"/>
              <w:bottom w:w="91" w:type="dxa"/>
              <w:right w:w="0" w:type="dxa"/>
            </w:tcMar>
          </w:tcPr>
          <w:p w14:paraId="0CC2DA2A" w14:textId="46D079A9" w:rsidR="001908BB" w:rsidRPr="00D04B16" w:rsidRDefault="001908BB" w:rsidP="0039028E">
            <w:pPr>
              <w:pStyle w:val="TableSideHeading"/>
              <w:outlineLvl w:val="9"/>
              <w:rPr>
                <w:rtl/>
              </w:rPr>
            </w:pPr>
            <w:bookmarkStart w:id="26" w:name="_Toc224817846"/>
            <w:r>
              <w:rPr>
                <w:rFonts w:ascii="David" w:hAnsi="David" w:hint="cs"/>
                <w:sz w:val="26"/>
                <w:rtl/>
              </w:rPr>
              <w:lastRenderedPageBreak/>
              <w:t xml:space="preserve">תיקון חוק הביטוח הלאומי </w:t>
            </w:r>
            <w:r>
              <w:rPr>
                <w:rFonts w:ascii="David" w:hAnsi="David"/>
                <w:sz w:val="26"/>
                <w:rtl/>
              </w:rPr>
              <w:t>–</w:t>
            </w:r>
            <w:r>
              <w:rPr>
                <w:rFonts w:ascii="David" w:hAnsi="David" w:hint="cs"/>
                <w:sz w:val="26"/>
                <w:rtl/>
              </w:rPr>
              <w:t xml:space="preserve"> הוראת שעה, תיקון מס' 259</w:t>
            </w:r>
            <w:bookmarkEnd w:id="26"/>
          </w:p>
        </w:tc>
        <w:tc>
          <w:tcPr>
            <w:tcW w:w="283" w:type="dxa"/>
            <w:tcMar>
              <w:top w:w="91" w:type="dxa"/>
              <w:left w:w="0" w:type="dxa"/>
              <w:bottom w:w="91" w:type="dxa"/>
              <w:right w:w="0" w:type="dxa"/>
            </w:tcMar>
          </w:tcPr>
          <w:p w14:paraId="2A384378" w14:textId="2DDF309F" w:rsidR="001908BB" w:rsidRPr="00D04B16" w:rsidRDefault="001908BB" w:rsidP="00EC2DB0">
            <w:pPr>
              <w:pStyle w:val="TableText"/>
              <w:numPr>
                <w:ilvl w:val="0"/>
                <w:numId w:val="13"/>
              </w:numPr>
              <w:rPr>
                <w:rFonts w:ascii="David" w:hAnsi="David"/>
                <w:sz w:val="26"/>
                <w:rtl/>
              </w:rPr>
            </w:pPr>
          </w:p>
        </w:tc>
        <w:tc>
          <w:tcPr>
            <w:tcW w:w="7770" w:type="dxa"/>
            <w:gridSpan w:val="9"/>
            <w:tcMar>
              <w:top w:w="91" w:type="dxa"/>
              <w:left w:w="0" w:type="dxa"/>
              <w:bottom w:w="91" w:type="dxa"/>
              <w:right w:w="0" w:type="dxa"/>
            </w:tcMar>
          </w:tcPr>
          <w:p w14:paraId="4B810DA3" w14:textId="54B0B6B4" w:rsidR="001908BB" w:rsidRPr="00D04B16" w:rsidRDefault="001908BB" w:rsidP="001908BB">
            <w:pPr>
              <w:pStyle w:val="TableBlock"/>
              <w:rPr>
                <w:rFonts w:ascii="David" w:hAnsi="David"/>
                <w:sz w:val="26"/>
                <w:rtl/>
              </w:rPr>
            </w:pPr>
            <w:r>
              <w:rPr>
                <w:rFonts w:ascii="David" w:hAnsi="David" w:hint="cs"/>
                <w:sz w:val="26"/>
                <w:rtl/>
              </w:rPr>
              <w:t xml:space="preserve">בחוק התוכנית לסיוע כלכלי (הוראת שעה </w:t>
            </w:r>
            <w:r>
              <w:rPr>
                <w:rFonts w:ascii="David" w:hAnsi="David"/>
                <w:sz w:val="26"/>
                <w:rtl/>
              </w:rPr>
              <w:t>–</w:t>
            </w:r>
            <w:r>
              <w:rPr>
                <w:rFonts w:ascii="David" w:hAnsi="David" w:hint="cs"/>
                <w:sz w:val="26"/>
                <w:rtl/>
              </w:rPr>
              <w:t xml:space="preserve"> חרבות ברזל), התשפ"ה-2025, בחוק הביטוח הלאומי </w:t>
            </w:r>
            <w:r>
              <w:rPr>
                <w:rFonts w:ascii="David" w:hAnsi="David"/>
                <w:sz w:val="26"/>
                <w:rtl/>
              </w:rPr>
              <w:t>–</w:t>
            </w:r>
            <w:r>
              <w:rPr>
                <w:rFonts w:ascii="David" w:hAnsi="David" w:hint="cs"/>
                <w:sz w:val="26"/>
                <w:rtl/>
              </w:rPr>
              <w:t xml:space="preserve"> הוראת שעה, תיקון מס' 259, בסעיף 4 אחרי "(בסעיף זה ובסעיף 6 - תקופת הוראת השעה" יבוא "ולעניין סעיף קטן 1 עד ליום כ</w:t>
            </w:r>
            <w:r w:rsidRPr="00D25F2F">
              <w:rPr>
                <w:rFonts w:ascii="David" w:hAnsi="David"/>
                <w:sz w:val="26"/>
                <w:rtl/>
              </w:rPr>
              <w:t>"</w:t>
            </w:r>
            <w:r>
              <w:rPr>
                <w:rFonts w:ascii="David" w:hAnsi="David" w:hint="cs"/>
                <w:sz w:val="26"/>
                <w:rtl/>
              </w:rPr>
              <w:t>א</w:t>
            </w:r>
            <w:r w:rsidRPr="00D25F2F">
              <w:rPr>
                <w:rFonts w:ascii="David" w:hAnsi="David"/>
                <w:sz w:val="26"/>
                <w:rtl/>
              </w:rPr>
              <w:t xml:space="preserve"> ב</w:t>
            </w:r>
            <w:r>
              <w:rPr>
                <w:rFonts w:ascii="David" w:hAnsi="David" w:hint="cs"/>
                <w:sz w:val="26"/>
                <w:rtl/>
              </w:rPr>
              <w:t>אדר</w:t>
            </w:r>
            <w:r w:rsidRPr="00D25F2F">
              <w:rPr>
                <w:rFonts w:ascii="David" w:hAnsi="David"/>
                <w:sz w:val="26"/>
                <w:rtl/>
              </w:rPr>
              <w:t xml:space="preserve"> </w:t>
            </w:r>
            <w:proofErr w:type="spellStart"/>
            <w:r w:rsidRPr="00D25F2F">
              <w:rPr>
                <w:rFonts w:ascii="David" w:hAnsi="David"/>
                <w:sz w:val="26"/>
                <w:rtl/>
              </w:rPr>
              <w:t>התשפ</w:t>
            </w:r>
            <w:proofErr w:type="spellEnd"/>
            <w:r w:rsidRPr="00D25F2F">
              <w:rPr>
                <w:rFonts w:ascii="David" w:hAnsi="David"/>
                <w:sz w:val="26"/>
                <w:rtl/>
              </w:rPr>
              <w:t>"</w:t>
            </w:r>
            <w:r>
              <w:rPr>
                <w:rFonts w:ascii="David" w:hAnsi="David" w:hint="cs"/>
                <w:sz w:val="26"/>
                <w:rtl/>
              </w:rPr>
              <w:t>ז</w:t>
            </w:r>
            <w:r w:rsidRPr="00D25F2F">
              <w:rPr>
                <w:rFonts w:ascii="David" w:hAnsi="David"/>
                <w:sz w:val="26"/>
                <w:rtl/>
              </w:rPr>
              <w:t xml:space="preserve"> (</w:t>
            </w:r>
            <w:r>
              <w:rPr>
                <w:rFonts w:ascii="David" w:hAnsi="David" w:hint="cs"/>
                <w:sz w:val="26"/>
                <w:rtl/>
              </w:rPr>
              <w:t>28</w:t>
            </w:r>
            <w:r w:rsidRPr="00D25F2F">
              <w:rPr>
                <w:rFonts w:ascii="David" w:hAnsi="David"/>
                <w:sz w:val="26"/>
                <w:rtl/>
              </w:rPr>
              <w:t xml:space="preserve"> ב</w:t>
            </w:r>
            <w:r>
              <w:rPr>
                <w:rFonts w:ascii="David" w:hAnsi="David" w:hint="cs"/>
                <w:sz w:val="26"/>
                <w:rtl/>
              </w:rPr>
              <w:t>פברואר</w:t>
            </w:r>
            <w:r w:rsidRPr="00D25F2F">
              <w:rPr>
                <w:rFonts w:ascii="David" w:hAnsi="David"/>
                <w:sz w:val="26"/>
                <w:rtl/>
              </w:rPr>
              <w:t xml:space="preserve"> </w:t>
            </w:r>
            <w:r>
              <w:rPr>
                <w:rFonts w:ascii="David" w:hAnsi="David" w:hint="cs"/>
                <w:sz w:val="26"/>
                <w:rtl/>
              </w:rPr>
              <w:t>2027</w:t>
            </w:r>
            <w:r w:rsidRPr="00D25F2F">
              <w:rPr>
                <w:rFonts w:ascii="David" w:hAnsi="David"/>
                <w:sz w:val="26"/>
                <w:rtl/>
              </w:rPr>
              <w:t>)</w:t>
            </w:r>
            <w:r>
              <w:rPr>
                <w:rFonts w:ascii="David" w:hAnsi="David" w:hint="cs"/>
                <w:sz w:val="26"/>
                <w:rtl/>
              </w:rPr>
              <w:t>".</w:t>
            </w:r>
          </w:p>
        </w:tc>
      </w:tr>
      <w:tr w:rsidR="001908BB" w:rsidRPr="00D04B16" w14:paraId="32075911" w14:textId="77777777" w:rsidTr="00FE12E5">
        <w:tblPrEx>
          <w:tblLook w:val="0000" w:firstRow="0" w:lastRow="0" w:firstColumn="0" w:lastColumn="0" w:noHBand="0" w:noVBand="0"/>
        </w:tblPrEx>
        <w:trPr>
          <w:gridAfter w:val="1"/>
          <w:wAfter w:w="25" w:type="dxa"/>
          <w:cantSplit/>
        </w:trPr>
        <w:tc>
          <w:tcPr>
            <w:tcW w:w="1583" w:type="dxa"/>
            <w:tcMar>
              <w:top w:w="91" w:type="dxa"/>
              <w:left w:w="0" w:type="dxa"/>
              <w:bottom w:w="91" w:type="dxa"/>
              <w:right w:w="0" w:type="dxa"/>
            </w:tcMar>
          </w:tcPr>
          <w:p w14:paraId="1F505487" w14:textId="2EB73B2C" w:rsidR="001908BB" w:rsidRPr="00D04B16" w:rsidRDefault="001908BB" w:rsidP="0039028E">
            <w:pPr>
              <w:pStyle w:val="TableSideHeading"/>
              <w:outlineLvl w:val="9"/>
              <w:rPr>
                <w:rtl/>
              </w:rPr>
            </w:pPr>
            <w:bookmarkStart w:id="27" w:name="_Toc224817847"/>
            <w:r w:rsidRPr="00D25F2F">
              <w:rPr>
                <w:rFonts w:ascii="David" w:hAnsi="David"/>
                <w:sz w:val="26"/>
                <w:rtl/>
              </w:rPr>
              <w:t>תיקון חוק מענק מיוחד לבני 67 ומעלה (הוראת שעה – מקרים מיוחדים)</w:t>
            </w:r>
            <w:bookmarkEnd w:id="27"/>
          </w:p>
        </w:tc>
        <w:tc>
          <w:tcPr>
            <w:tcW w:w="283" w:type="dxa"/>
            <w:tcMar>
              <w:top w:w="91" w:type="dxa"/>
              <w:left w:w="0" w:type="dxa"/>
              <w:bottom w:w="91" w:type="dxa"/>
              <w:right w:w="0" w:type="dxa"/>
            </w:tcMar>
          </w:tcPr>
          <w:p w14:paraId="67C792E3" w14:textId="6A340E56" w:rsidR="001908BB" w:rsidRPr="00D04B16" w:rsidRDefault="001908BB" w:rsidP="00EC2DB0">
            <w:pPr>
              <w:pStyle w:val="TableText"/>
              <w:numPr>
                <w:ilvl w:val="0"/>
                <w:numId w:val="13"/>
              </w:numPr>
              <w:rPr>
                <w:rFonts w:ascii="David" w:hAnsi="David"/>
                <w:sz w:val="26"/>
                <w:rtl/>
              </w:rPr>
            </w:pPr>
          </w:p>
        </w:tc>
        <w:tc>
          <w:tcPr>
            <w:tcW w:w="7770" w:type="dxa"/>
            <w:gridSpan w:val="9"/>
            <w:tcMar>
              <w:top w:w="91" w:type="dxa"/>
              <w:left w:w="0" w:type="dxa"/>
              <w:bottom w:w="91" w:type="dxa"/>
              <w:right w:w="0" w:type="dxa"/>
            </w:tcMar>
          </w:tcPr>
          <w:p w14:paraId="6E5AF21E" w14:textId="2D450CD8" w:rsidR="001908BB" w:rsidRPr="00D04B16" w:rsidRDefault="001908BB" w:rsidP="001908BB">
            <w:pPr>
              <w:pStyle w:val="TableBlock"/>
              <w:rPr>
                <w:rFonts w:ascii="David" w:hAnsi="David"/>
                <w:sz w:val="26"/>
                <w:rtl/>
              </w:rPr>
            </w:pPr>
            <w:r w:rsidRPr="00D25F2F">
              <w:rPr>
                <w:rFonts w:ascii="David" w:hAnsi="David"/>
                <w:sz w:val="26"/>
                <w:rtl/>
              </w:rPr>
              <w:t>בחוק מענק מיוחד לבני 67 ומעלה (הוראת שעה – מקרים מיוחדים), התש"ף–2020‏</w:t>
            </w:r>
            <w:r w:rsidRPr="00D25F2F">
              <w:rPr>
                <w:rStyle w:val="a8"/>
                <w:rFonts w:ascii="David" w:hAnsi="David"/>
                <w:sz w:val="26"/>
                <w:rtl/>
              </w:rPr>
              <w:footnoteReference w:id="2"/>
            </w:r>
            <w:r w:rsidRPr="00D25F2F">
              <w:rPr>
                <w:rFonts w:ascii="David" w:hAnsi="David"/>
                <w:sz w:val="26"/>
                <w:rtl/>
              </w:rPr>
              <w:t xml:space="preserve"> (להלן – חוק מענק מיוחד) –</w:t>
            </w:r>
          </w:p>
        </w:tc>
      </w:tr>
      <w:tr w:rsidR="001908BB" w14:paraId="592FEDD6" w14:textId="77777777" w:rsidTr="00FE12E5">
        <w:trPr>
          <w:gridAfter w:val="1"/>
          <w:wAfter w:w="25" w:type="dxa"/>
          <w:cantSplit/>
          <w:trHeight w:val="60"/>
        </w:trPr>
        <w:tc>
          <w:tcPr>
            <w:tcW w:w="1583" w:type="dxa"/>
          </w:tcPr>
          <w:p w14:paraId="3442097D" w14:textId="77777777" w:rsidR="001908BB" w:rsidRDefault="001908BB" w:rsidP="001908BB">
            <w:pPr>
              <w:pStyle w:val="TableSideHeading"/>
            </w:pPr>
          </w:p>
        </w:tc>
        <w:tc>
          <w:tcPr>
            <w:tcW w:w="283" w:type="dxa"/>
          </w:tcPr>
          <w:p w14:paraId="6472D9DF" w14:textId="77777777" w:rsidR="001908BB" w:rsidRDefault="001908BB" w:rsidP="001908BB">
            <w:pPr>
              <w:pStyle w:val="TableText"/>
            </w:pPr>
          </w:p>
        </w:tc>
        <w:tc>
          <w:tcPr>
            <w:tcW w:w="1131" w:type="dxa"/>
          </w:tcPr>
          <w:p w14:paraId="251D3B92" w14:textId="77777777" w:rsidR="001908BB" w:rsidRDefault="001908BB" w:rsidP="001908BB">
            <w:pPr>
              <w:pStyle w:val="TableText"/>
            </w:pPr>
          </w:p>
        </w:tc>
        <w:tc>
          <w:tcPr>
            <w:tcW w:w="6639" w:type="dxa"/>
            <w:gridSpan w:val="8"/>
          </w:tcPr>
          <w:p w14:paraId="6D8317AB" w14:textId="5B3EA8C3" w:rsidR="001908BB" w:rsidRDefault="001908BB" w:rsidP="00EC2DB0">
            <w:pPr>
              <w:pStyle w:val="TableBlock"/>
              <w:numPr>
                <w:ilvl w:val="0"/>
                <w:numId w:val="9"/>
              </w:numPr>
              <w:tabs>
                <w:tab w:val="left" w:pos="624"/>
              </w:tabs>
            </w:pPr>
            <w:r w:rsidRPr="00D25F2F">
              <w:rPr>
                <w:rFonts w:ascii="David" w:hAnsi="David"/>
                <w:sz w:val="26"/>
                <w:rtl/>
              </w:rPr>
              <w:t>ב</w:t>
            </w:r>
            <w:r>
              <w:rPr>
                <w:rFonts w:ascii="David" w:hAnsi="David" w:hint="cs"/>
                <w:sz w:val="26"/>
                <w:rtl/>
              </w:rPr>
              <w:t>כותרת פרק ג' במקום "חרבות ברזל" יבוא "מלחמות ישראל";</w:t>
            </w:r>
          </w:p>
        </w:tc>
      </w:tr>
      <w:tr w:rsidR="001908BB" w14:paraId="3E4904D2" w14:textId="77777777" w:rsidTr="00FE12E5">
        <w:trPr>
          <w:gridAfter w:val="1"/>
          <w:wAfter w:w="25" w:type="dxa"/>
          <w:cantSplit/>
          <w:trHeight w:val="60"/>
        </w:trPr>
        <w:tc>
          <w:tcPr>
            <w:tcW w:w="1583" w:type="dxa"/>
          </w:tcPr>
          <w:p w14:paraId="7DD0380C" w14:textId="77777777" w:rsidR="001908BB" w:rsidRDefault="001908BB" w:rsidP="001908BB">
            <w:pPr>
              <w:pStyle w:val="TableSideHeading"/>
            </w:pPr>
          </w:p>
        </w:tc>
        <w:tc>
          <w:tcPr>
            <w:tcW w:w="283" w:type="dxa"/>
          </w:tcPr>
          <w:p w14:paraId="380327B6" w14:textId="77777777" w:rsidR="001908BB" w:rsidRDefault="001908BB" w:rsidP="001908BB">
            <w:pPr>
              <w:pStyle w:val="TableText"/>
            </w:pPr>
          </w:p>
        </w:tc>
        <w:tc>
          <w:tcPr>
            <w:tcW w:w="1131" w:type="dxa"/>
          </w:tcPr>
          <w:p w14:paraId="6C1734A0" w14:textId="77777777" w:rsidR="001908BB" w:rsidRDefault="001908BB" w:rsidP="001908BB">
            <w:pPr>
              <w:pStyle w:val="TableText"/>
            </w:pPr>
          </w:p>
        </w:tc>
        <w:tc>
          <w:tcPr>
            <w:tcW w:w="6639" w:type="dxa"/>
            <w:gridSpan w:val="8"/>
          </w:tcPr>
          <w:p w14:paraId="514AD137" w14:textId="6DF920C0" w:rsidR="001908BB" w:rsidRPr="00D25F2F" w:rsidRDefault="001908BB" w:rsidP="00EC2DB0">
            <w:pPr>
              <w:pStyle w:val="TableBlock"/>
              <w:numPr>
                <w:ilvl w:val="0"/>
                <w:numId w:val="9"/>
              </w:numPr>
              <w:tabs>
                <w:tab w:val="left" w:pos="624"/>
              </w:tabs>
              <w:rPr>
                <w:rFonts w:ascii="David" w:hAnsi="David"/>
                <w:sz w:val="26"/>
                <w:rtl/>
              </w:rPr>
            </w:pPr>
            <w:r>
              <w:rPr>
                <w:rFonts w:ascii="David" w:hAnsi="David" w:hint="cs"/>
                <w:sz w:val="26"/>
                <w:rtl/>
              </w:rPr>
              <w:t>בפרק ד', בסעיפים 9(א), 10(ב)(1), 10(ב)(2), 11, 12(א)</w:t>
            </w:r>
            <w:r>
              <w:rPr>
                <w:rFonts w:ascii="David" w:hAnsi="David" w:hint="cs"/>
                <w:sz w:val="26"/>
              </w:rPr>
              <w:t xml:space="preserve"> </w:t>
            </w:r>
            <w:r>
              <w:rPr>
                <w:rFonts w:ascii="David" w:hAnsi="David" w:hint="cs"/>
                <w:sz w:val="26"/>
                <w:rtl/>
              </w:rPr>
              <w:t xml:space="preserve">בכל מקום, במקום "מענק מיוחד </w:t>
            </w:r>
            <w:r>
              <w:rPr>
                <w:rFonts w:ascii="David" w:hAnsi="David"/>
                <w:sz w:val="26"/>
                <w:rtl/>
              </w:rPr>
              <w:t>–</w:t>
            </w:r>
            <w:r>
              <w:rPr>
                <w:rFonts w:ascii="David" w:hAnsi="David" w:hint="cs"/>
                <w:sz w:val="26"/>
                <w:rtl/>
              </w:rPr>
              <w:t xml:space="preserve"> חרבות ברזל" יבוא "מענק מיוחד- מלחמות ישראל"';</w:t>
            </w:r>
          </w:p>
        </w:tc>
      </w:tr>
      <w:tr w:rsidR="001908BB" w14:paraId="40FD36C2" w14:textId="77777777" w:rsidTr="00FE12E5">
        <w:trPr>
          <w:gridAfter w:val="1"/>
          <w:wAfter w:w="25" w:type="dxa"/>
          <w:cantSplit/>
          <w:trHeight w:val="60"/>
        </w:trPr>
        <w:tc>
          <w:tcPr>
            <w:tcW w:w="1583" w:type="dxa"/>
          </w:tcPr>
          <w:p w14:paraId="5AED4A2C" w14:textId="77777777" w:rsidR="001908BB" w:rsidRDefault="001908BB" w:rsidP="001908BB">
            <w:pPr>
              <w:pStyle w:val="TableSideHeading"/>
            </w:pPr>
          </w:p>
        </w:tc>
        <w:tc>
          <w:tcPr>
            <w:tcW w:w="283" w:type="dxa"/>
          </w:tcPr>
          <w:p w14:paraId="5C435FA9" w14:textId="77777777" w:rsidR="001908BB" w:rsidRDefault="001908BB" w:rsidP="001908BB">
            <w:pPr>
              <w:pStyle w:val="TableText"/>
            </w:pPr>
          </w:p>
        </w:tc>
        <w:tc>
          <w:tcPr>
            <w:tcW w:w="1131" w:type="dxa"/>
          </w:tcPr>
          <w:p w14:paraId="1FB9C2E5" w14:textId="77777777" w:rsidR="001908BB" w:rsidRDefault="001908BB" w:rsidP="001908BB">
            <w:pPr>
              <w:pStyle w:val="TableText"/>
            </w:pPr>
          </w:p>
        </w:tc>
        <w:tc>
          <w:tcPr>
            <w:tcW w:w="6639" w:type="dxa"/>
            <w:gridSpan w:val="8"/>
          </w:tcPr>
          <w:p w14:paraId="34767F45" w14:textId="6336F989" w:rsidR="001908BB" w:rsidRPr="00D25F2F" w:rsidRDefault="001908BB" w:rsidP="00EC2DB0">
            <w:pPr>
              <w:pStyle w:val="TableBlock"/>
              <w:numPr>
                <w:ilvl w:val="0"/>
                <w:numId w:val="9"/>
              </w:numPr>
              <w:tabs>
                <w:tab w:val="left" w:pos="624"/>
              </w:tabs>
              <w:rPr>
                <w:rFonts w:ascii="David" w:hAnsi="David"/>
                <w:sz w:val="26"/>
                <w:rtl/>
              </w:rPr>
            </w:pPr>
            <w:r>
              <w:rPr>
                <w:rFonts w:ascii="David" w:hAnsi="David" w:hint="cs"/>
                <w:sz w:val="26"/>
                <w:rtl/>
              </w:rPr>
              <w:t>ב</w:t>
            </w:r>
            <w:r w:rsidRPr="00D25F2F">
              <w:rPr>
                <w:rFonts w:ascii="David" w:hAnsi="David"/>
                <w:sz w:val="26"/>
                <w:rtl/>
              </w:rPr>
              <w:t>סעיף 8ב</w:t>
            </w:r>
            <w:r>
              <w:rPr>
                <w:rFonts w:ascii="David" w:hAnsi="David" w:hint="cs"/>
                <w:sz w:val="26"/>
                <w:rtl/>
              </w:rPr>
              <w:t xml:space="preserve">, במקום "התקופה הקובעת הנוספת" יבוא "התקופה הקובעת </w:t>
            </w:r>
            <w:r>
              <w:rPr>
                <w:rFonts w:ascii="David" w:hAnsi="David"/>
                <w:sz w:val="26"/>
                <w:rtl/>
              </w:rPr>
              <w:t>–</w:t>
            </w:r>
            <w:r>
              <w:rPr>
                <w:rFonts w:ascii="David" w:hAnsi="David" w:hint="cs"/>
                <w:sz w:val="26"/>
                <w:rtl/>
              </w:rPr>
              <w:t xml:space="preserve"> עם כלביא" ואחרי ההגדרה "התקופה הקובעת </w:t>
            </w:r>
            <w:r>
              <w:rPr>
                <w:rFonts w:ascii="David" w:hAnsi="David"/>
                <w:sz w:val="26"/>
                <w:rtl/>
              </w:rPr>
              <w:t>–</w:t>
            </w:r>
            <w:r>
              <w:rPr>
                <w:rFonts w:ascii="David" w:hAnsi="David" w:hint="cs"/>
                <w:sz w:val="26"/>
                <w:rtl/>
              </w:rPr>
              <w:t xml:space="preserve"> עם כלביא" יבוא:</w:t>
            </w:r>
          </w:p>
        </w:tc>
      </w:tr>
      <w:tr w:rsidR="001908BB" w14:paraId="75421E16" w14:textId="77777777" w:rsidTr="00FE12E5">
        <w:trPr>
          <w:cantSplit/>
          <w:trHeight w:val="60"/>
        </w:trPr>
        <w:tc>
          <w:tcPr>
            <w:tcW w:w="1583" w:type="dxa"/>
          </w:tcPr>
          <w:p w14:paraId="4F0FF21B" w14:textId="77777777" w:rsidR="001908BB" w:rsidRDefault="001908BB" w:rsidP="001908BB">
            <w:pPr>
              <w:pStyle w:val="TableSideHeading"/>
            </w:pPr>
          </w:p>
        </w:tc>
        <w:tc>
          <w:tcPr>
            <w:tcW w:w="283" w:type="dxa"/>
          </w:tcPr>
          <w:p w14:paraId="31C7E0E2" w14:textId="77777777" w:rsidR="001908BB" w:rsidRDefault="001908BB" w:rsidP="001908BB">
            <w:pPr>
              <w:pStyle w:val="TableText"/>
            </w:pPr>
          </w:p>
        </w:tc>
        <w:tc>
          <w:tcPr>
            <w:tcW w:w="1131" w:type="dxa"/>
          </w:tcPr>
          <w:p w14:paraId="5C0B073B" w14:textId="77777777" w:rsidR="001908BB" w:rsidRDefault="001908BB" w:rsidP="001908BB">
            <w:pPr>
              <w:pStyle w:val="TableText"/>
            </w:pPr>
          </w:p>
        </w:tc>
        <w:tc>
          <w:tcPr>
            <w:tcW w:w="709" w:type="dxa"/>
          </w:tcPr>
          <w:p w14:paraId="2E214710" w14:textId="77777777" w:rsidR="001908BB" w:rsidRDefault="001908BB" w:rsidP="001908BB">
            <w:pPr>
              <w:pStyle w:val="TableText"/>
            </w:pPr>
          </w:p>
        </w:tc>
        <w:tc>
          <w:tcPr>
            <w:tcW w:w="5955" w:type="dxa"/>
            <w:gridSpan w:val="8"/>
          </w:tcPr>
          <w:p w14:paraId="4DB0087A" w14:textId="4A970660" w:rsidR="001908BB" w:rsidRDefault="001908BB" w:rsidP="001908BB">
            <w:pPr>
              <w:pStyle w:val="TableBlock"/>
            </w:pPr>
            <w:r w:rsidRPr="00D25F2F">
              <w:rPr>
                <w:rFonts w:ascii="David" w:hAnsi="David"/>
                <w:sz w:val="26"/>
                <w:rtl/>
              </w:rPr>
              <w:t xml:space="preserve">""התקופה הקובעת </w:t>
            </w:r>
            <w:r>
              <w:rPr>
                <w:rFonts w:ascii="David" w:hAnsi="David"/>
                <w:sz w:val="26"/>
                <w:rtl/>
              </w:rPr>
              <w:t>–</w:t>
            </w:r>
            <w:r>
              <w:rPr>
                <w:rFonts w:ascii="David" w:hAnsi="David" w:hint="cs"/>
                <w:sz w:val="26"/>
                <w:rtl/>
              </w:rPr>
              <w:t xml:space="preserve"> </w:t>
            </w:r>
            <w:r w:rsidRPr="00C47194">
              <w:rPr>
                <w:rFonts w:ascii="David" w:hAnsi="David" w:hint="cs"/>
                <w:sz w:val="26"/>
                <w:rtl/>
              </w:rPr>
              <w:t>שאגת הארי</w:t>
            </w:r>
            <w:r w:rsidRPr="00C47194">
              <w:rPr>
                <w:rFonts w:ascii="David" w:hAnsi="David"/>
                <w:sz w:val="26"/>
                <w:rtl/>
              </w:rPr>
              <w:t xml:space="preserve">" </w:t>
            </w:r>
            <w:r w:rsidR="00741CA8" w:rsidRPr="00C47194">
              <w:rPr>
                <w:rFonts w:ascii="David" w:hAnsi="David"/>
                <w:sz w:val="26"/>
                <w:rtl/>
              </w:rPr>
              <w:t>– התקופה שמיום י"</w:t>
            </w:r>
            <w:r w:rsidR="00741CA8" w:rsidRPr="00C47194">
              <w:rPr>
                <w:rFonts w:ascii="David" w:hAnsi="David" w:hint="cs"/>
                <w:sz w:val="26"/>
                <w:rtl/>
              </w:rPr>
              <w:t>א</w:t>
            </w:r>
            <w:r w:rsidR="00741CA8" w:rsidRPr="00C47194">
              <w:rPr>
                <w:rFonts w:ascii="David" w:hAnsi="David"/>
                <w:sz w:val="26"/>
                <w:rtl/>
              </w:rPr>
              <w:t xml:space="preserve"> ב</w:t>
            </w:r>
            <w:r w:rsidR="00741CA8" w:rsidRPr="00C47194">
              <w:rPr>
                <w:rFonts w:ascii="David" w:hAnsi="David" w:hint="cs"/>
                <w:sz w:val="26"/>
                <w:rtl/>
              </w:rPr>
              <w:t>אדר</w:t>
            </w:r>
            <w:r w:rsidR="00741CA8" w:rsidRPr="00C47194">
              <w:rPr>
                <w:rFonts w:ascii="David" w:hAnsi="David"/>
                <w:sz w:val="26"/>
                <w:rtl/>
              </w:rPr>
              <w:t xml:space="preserve"> </w:t>
            </w:r>
            <w:proofErr w:type="spellStart"/>
            <w:r w:rsidR="00741CA8" w:rsidRPr="00C47194">
              <w:rPr>
                <w:rFonts w:ascii="David" w:hAnsi="David"/>
                <w:sz w:val="26"/>
                <w:rtl/>
              </w:rPr>
              <w:t>התשפ</w:t>
            </w:r>
            <w:proofErr w:type="spellEnd"/>
            <w:r w:rsidR="00741CA8" w:rsidRPr="00C47194">
              <w:rPr>
                <w:rFonts w:ascii="David" w:hAnsi="David"/>
                <w:sz w:val="26"/>
                <w:rtl/>
              </w:rPr>
              <w:t>"</w:t>
            </w:r>
            <w:r w:rsidR="00741CA8" w:rsidRPr="00C47194">
              <w:rPr>
                <w:rFonts w:ascii="David" w:hAnsi="David" w:hint="cs"/>
                <w:sz w:val="26"/>
                <w:rtl/>
              </w:rPr>
              <w:t>ו</w:t>
            </w:r>
            <w:r w:rsidR="00741CA8" w:rsidRPr="00C47194">
              <w:rPr>
                <w:rFonts w:ascii="David" w:hAnsi="David"/>
                <w:sz w:val="26"/>
                <w:rtl/>
              </w:rPr>
              <w:t xml:space="preserve"> (</w:t>
            </w:r>
            <w:r w:rsidR="00741CA8" w:rsidRPr="00C47194">
              <w:rPr>
                <w:rFonts w:ascii="David" w:hAnsi="David" w:hint="cs"/>
                <w:sz w:val="26"/>
                <w:rtl/>
              </w:rPr>
              <w:t>28</w:t>
            </w:r>
            <w:r w:rsidR="00741CA8" w:rsidRPr="00C47194">
              <w:rPr>
                <w:rFonts w:ascii="David" w:hAnsi="David"/>
                <w:sz w:val="26"/>
                <w:rtl/>
              </w:rPr>
              <w:t xml:space="preserve"> ב</w:t>
            </w:r>
            <w:r w:rsidR="00741CA8" w:rsidRPr="00C47194">
              <w:rPr>
                <w:rFonts w:ascii="David" w:hAnsi="David" w:hint="cs"/>
                <w:sz w:val="26"/>
                <w:rtl/>
              </w:rPr>
              <w:t>פברואר</w:t>
            </w:r>
            <w:r w:rsidR="00741CA8" w:rsidRPr="00C47194">
              <w:rPr>
                <w:rFonts w:ascii="David" w:hAnsi="David"/>
                <w:sz w:val="26"/>
                <w:rtl/>
              </w:rPr>
              <w:t xml:space="preserve"> 202</w:t>
            </w:r>
            <w:r w:rsidR="00741CA8" w:rsidRPr="00C47194">
              <w:rPr>
                <w:rFonts w:ascii="David" w:hAnsi="David" w:hint="cs"/>
                <w:sz w:val="26"/>
                <w:rtl/>
              </w:rPr>
              <w:t>6</w:t>
            </w:r>
            <w:r w:rsidR="00741CA8" w:rsidRPr="00C47194">
              <w:rPr>
                <w:rFonts w:ascii="David" w:hAnsi="David"/>
                <w:sz w:val="26"/>
                <w:rtl/>
              </w:rPr>
              <w:t xml:space="preserve">) עד יום </w:t>
            </w:r>
            <w:r w:rsidR="00741CA8" w:rsidRPr="00C47194">
              <w:rPr>
                <w:rFonts w:ascii="David" w:hAnsi="David" w:hint="cs"/>
                <w:sz w:val="26"/>
                <w:rtl/>
              </w:rPr>
              <w:t>י"ג באייר</w:t>
            </w:r>
            <w:r w:rsidR="00741CA8" w:rsidRPr="00C47194">
              <w:rPr>
                <w:rFonts w:ascii="David" w:hAnsi="David"/>
                <w:sz w:val="26"/>
                <w:rtl/>
              </w:rPr>
              <w:t xml:space="preserve"> </w:t>
            </w:r>
            <w:proofErr w:type="spellStart"/>
            <w:r w:rsidR="00741CA8" w:rsidRPr="00C47194">
              <w:rPr>
                <w:rFonts w:ascii="David" w:hAnsi="David"/>
                <w:sz w:val="26"/>
                <w:rtl/>
              </w:rPr>
              <w:t>התשפ</w:t>
            </w:r>
            <w:proofErr w:type="spellEnd"/>
            <w:r w:rsidR="00741CA8" w:rsidRPr="00C47194">
              <w:rPr>
                <w:rFonts w:ascii="David" w:hAnsi="David"/>
                <w:sz w:val="26"/>
                <w:rtl/>
              </w:rPr>
              <w:t>"</w:t>
            </w:r>
            <w:r w:rsidR="00741CA8" w:rsidRPr="00C47194">
              <w:rPr>
                <w:rFonts w:ascii="David" w:hAnsi="David" w:hint="cs"/>
                <w:sz w:val="26"/>
                <w:rtl/>
              </w:rPr>
              <w:t>ו</w:t>
            </w:r>
            <w:r w:rsidR="00741CA8" w:rsidRPr="00C47194">
              <w:rPr>
                <w:rFonts w:ascii="David" w:hAnsi="David"/>
                <w:sz w:val="26"/>
                <w:rtl/>
              </w:rPr>
              <w:t xml:space="preserve"> (</w:t>
            </w:r>
            <w:r w:rsidR="00741CA8" w:rsidRPr="00C47194">
              <w:rPr>
                <w:rFonts w:ascii="David" w:hAnsi="David" w:hint="cs"/>
                <w:sz w:val="26"/>
                <w:rtl/>
              </w:rPr>
              <w:t>30 באפריל 2026</w:t>
            </w:r>
            <w:r w:rsidR="00706060">
              <w:rPr>
                <w:rFonts w:ascii="David" w:hAnsi="David" w:hint="cs"/>
                <w:sz w:val="26"/>
                <w:rtl/>
              </w:rPr>
              <w:t>)</w:t>
            </w:r>
            <w:r w:rsidRPr="00C47194">
              <w:rPr>
                <w:rFonts w:ascii="David" w:hAnsi="David"/>
                <w:sz w:val="26"/>
                <w:rtl/>
              </w:rPr>
              <w:t>;</w:t>
            </w:r>
          </w:p>
        </w:tc>
      </w:tr>
      <w:tr w:rsidR="001908BB" w14:paraId="758A2654" w14:textId="77777777" w:rsidTr="00FE12E5">
        <w:trPr>
          <w:cantSplit/>
          <w:trHeight w:val="60"/>
        </w:trPr>
        <w:tc>
          <w:tcPr>
            <w:tcW w:w="1583" w:type="dxa"/>
          </w:tcPr>
          <w:p w14:paraId="428688EF" w14:textId="77777777" w:rsidR="001908BB" w:rsidRDefault="001908BB" w:rsidP="001908BB">
            <w:pPr>
              <w:pStyle w:val="TableSideHeading"/>
            </w:pPr>
          </w:p>
        </w:tc>
        <w:tc>
          <w:tcPr>
            <w:tcW w:w="283" w:type="dxa"/>
          </w:tcPr>
          <w:p w14:paraId="3E40130A" w14:textId="77777777" w:rsidR="001908BB" w:rsidRDefault="001908BB" w:rsidP="001908BB">
            <w:pPr>
              <w:pStyle w:val="TableText"/>
            </w:pPr>
          </w:p>
        </w:tc>
        <w:tc>
          <w:tcPr>
            <w:tcW w:w="1131" w:type="dxa"/>
          </w:tcPr>
          <w:p w14:paraId="3B2734C9" w14:textId="77777777" w:rsidR="001908BB" w:rsidRDefault="001908BB" w:rsidP="001908BB">
            <w:pPr>
              <w:pStyle w:val="TableText"/>
            </w:pPr>
          </w:p>
        </w:tc>
        <w:tc>
          <w:tcPr>
            <w:tcW w:w="709" w:type="dxa"/>
          </w:tcPr>
          <w:p w14:paraId="6A20C7CD" w14:textId="7BE1B043" w:rsidR="001908BB" w:rsidRDefault="001908BB" w:rsidP="00EC2DB0">
            <w:pPr>
              <w:pStyle w:val="TableText"/>
              <w:numPr>
                <w:ilvl w:val="0"/>
                <w:numId w:val="9"/>
              </w:numPr>
            </w:pPr>
          </w:p>
        </w:tc>
        <w:tc>
          <w:tcPr>
            <w:tcW w:w="5955" w:type="dxa"/>
            <w:gridSpan w:val="8"/>
          </w:tcPr>
          <w:p w14:paraId="069DF9F0" w14:textId="0DE39D7E" w:rsidR="001908BB" w:rsidRPr="00D25F2F" w:rsidRDefault="001908BB" w:rsidP="001908BB">
            <w:pPr>
              <w:pStyle w:val="TableBlock"/>
              <w:rPr>
                <w:rFonts w:ascii="David" w:hAnsi="David"/>
                <w:sz w:val="26"/>
                <w:rtl/>
              </w:rPr>
            </w:pPr>
            <w:r>
              <w:rPr>
                <w:rFonts w:ascii="David" w:hAnsi="David" w:hint="cs"/>
                <w:sz w:val="26"/>
                <w:rtl/>
              </w:rPr>
              <w:t>בכותרת סימן ג'</w:t>
            </w:r>
            <w:r w:rsidRPr="00D25F2F">
              <w:rPr>
                <w:rFonts w:ascii="David" w:hAnsi="David"/>
                <w:sz w:val="26"/>
                <w:rtl/>
              </w:rPr>
              <w:t xml:space="preserve"> </w:t>
            </w:r>
            <w:r>
              <w:rPr>
                <w:rFonts w:ascii="David" w:hAnsi="David" w:hint="cs"/>
                <w:sz w:val="26"/>
                <w:rtl/>
              </w:rPr>
              <w:t xml:space="preserve">במקום "התקופה הקובעת הנוספת" </w:t>
            </w:r>
            <w:r w:rsidRPr="00D25F2F">
              <w:rPr>
                <w:rFonts w:ascii="David" w:hAnsi="David"/>
                <w:sz w:val="26"/>
                <w:rtl/>
              </w:rPr>
              <w:t>יבוא</w:t>
            </w:r>
            <w:r>
              <w:rPr>
                <w:rFonts w:ascii="David" w:hAnsi="David" w:hint="cs"/>
                <w:sz w:val="26"/>
                <w:rtl/>
              </w:rPr>
              <w:t xml:space="preserve"> "התקופה הקובעת </w:t>
            </w:r>
            <w:r>
              <w:rPr>
                <w:rFonts w:ascii="David" w:hAnsi="David"/>
                <w:sz w:val="26"/>
                <w:rtl/>
              </w:rPr>
              <w:t>–</w:t>
            </w:r>
            <w:r>
              <w:rPr>
                <w:rFonts w:ascii="David" w:hAnsi="David" w:hint="cs"/>
                <w:sz w:val="26"/>
                <w:rtl/>
              </w:rPr>
              <w:t xml:space="preserve"> עם כלביא";</w:t>
            </w:r>
          </w:p>
        </w:tc>
      </w:tr>
      <w:tr w:rsidR="001908BB" w14:paraId="33A99166" w14:textId="77777777" w:rsidTr="00FE12E5">
        <w:trPr>
          <w:cantSplit/>
          <w:trHeight w:val="60"/>
        </w:trPr>
        <w:tc>
          <w:tcPr>
            <w:tcW w:w="1583" w:type="dxa"/>
          </w:tcPr>
          <w:p w14:paraId="78F85254" w14:textId="77777777" w:rsidR="001908BB" w:rsidRDefault="001908BB" w:rsidP="001908BB">
            <w:pPr>
              <w:pStyle w:val="TableSideHeading"/>
            </w:pPr>
          </w:p>
        </w:tc>
        <w:tc>
          <w:tcPr>
            <w:tcW w:w="283" w:type="dxa"/>
          </w:tcPr>
          <w:p w14:paraId="697B69B5" w14:textId="77777777" w:rsidR="001908BB" w:rsidRDefault="001908BB" w:rsidP="001908BB">
            <w:pPr>
              <w:pStyle w:val="TableText"/>
            </w:pPr>
          </w:p>
        </w:tc>
        <w:tc>
          <w:tcPr>
            <w:tcW w:w="1131" w:type="dxa"/>
          </w:tcPr>
          <w:p w14:paraId="3E933512" w14:textId="77777777" w:rsidR="001908BB" w:rsidRDefault="001908BB" w:rsidP="001908BB">
            <w:pPr>
              <w:pStyle w:val="TableText"/>
            </w:pPr>
          </w:p>
        </w:tc>
        <w:tc>
          <w:tcPr>
            <w:tcW w:w="709" w:type="dxa"/>
          </w:tcPr>
          <w:p w14:paraId="3067D818" w14:textId="77777777" w:rsidR="001908BB" w:rsidRDefault="001908BB" w:rsidP="00EC2DB0">
            <w:pPr>
              <w:pStyle w:val="TableText"/>
              <w:numPr>
                <w:ilvl w:val="0"/>
                <w:numId w:val="9"/>
              </w:numPr>
            </w:pPr>
          </w:p>
        </w:tc>
        <w:tc>
          <w:tcPr>
            <w:tcW w:w="5955" w:type="dxa"/>
            <w:gridSpan w:val="8"/>
          </w:tcPr>
          <w:p w14:paraId="1AD9E16B" w14:textId="41D6C8B6" w:rsidR="001908BB" w:rsidRDefault="001908BB" w:rsidP="001908BB">
            <w:pPr>
              <w:pStyle w:val="TableBlock"/>
              <w:rPr>
                <w:rFonts w:ascii="David" w:hAnsi="David"/>
                <w:sz w:val="26"/>
                <w:rtl/>
              </w:rPr>
            </w:pPr>
            <w:r>
              <w:rPr>
                <w:rFonts w:ascii="David" w:hAnsi="David" w:hint="cs"/>
                <w:sz w:val="26"/>
                <w:rtl/>
              </w:rPr>
              <w:t xml:space="preserve">בסימן ג', בכל מקום, במקום "התקופה הקובעת הנוספת" </w:t>
            </w:r>
            <w:r w:rsidRPr="00D25F2F">
              <w:rPr>
                <w:rFonts w:ascii="David" w:hAnsi="David"/>
                <w:sz w:val="26"/>
                <w:rtl/>
              </w:rPr>
              <w:t>יבוא</w:t>
            </w:r>
            <w:r>
              <w:rPr>
                <w:rFonts w:ascii="David" w:hAnsi="David" w:hint="cs"/>
                <w:sz w:val="26"/>
                <w:rtl/>
              </w:rPr>
              <w:t xml:space="preserve"> "התקופה הקובעת </w:t>
            </w:r>
            <w:r>
              <w:rPr>
                <w:rFonts w:ascii="David" w:hAnsi="David"/>
                <w:sz w:val="26"/>
                <w:rtl/>
              </w:rPr>
              <w:t>–</w:t>
            </w:r>
            <w:r>
              <w:rPr>
                <w:rFonts w:ascii="David" w:hAnsi="David" w:hint="cs"/>
                <w:sz w:val="26"/>
                <w:rtl/>
              </w:rPr>
              <w:t xml:space="preserve"> עם כלביא";</w:t>
            </w:r>
          </w:p>
        </w:tc>
      </w:tr>
      <w:tr w:rsidR="001908BB" w14:paraId="1FDE16DC" w14:textId="77777777" w:rsidTr="00FE12E5">
        <w:trPr>
          <w:cantSplit/>
          <w:trHeight w:val="60"/>
        </w:trPr>
        <w:tc>
          <w:tcPr>
            <w:tcW w:w="1583" w:type="dxa"/>
          </w:tcPr>
          <w:p w14:paraId="78051036" w14:textId="77777777" w:rsidR="001908BB" w:rsidRDefault="001908BB" w:rsidP="001908BB">
            <w:pPr>
              <w:pStyle w:val="TableSideHeading"/>
            </w:pPr>
          </w:p>
        </w:tc>
        <w:tc>
          <w:tcPr>
            <w:tcW w:w="283" w:type="dxa"/>
          </w:tcPr>
          <w:p w14:paraId="754BD41C" w14:textId="77777777" w:rsidR="001908BB" w:rsidRDefault="001908BB" w:rsidP="001908BB">
            <w:pPr>
              <w:pStyle w:val="TableText"/>
            </w:pPr>
          </w:p>
        </w:tc>
        <w:tc>
          <w:tcPr>
            <w:tcW w:w="1131" w:type="dxa"/>
          </w:tcPr>
          <w:p w14:paraId="791536F8" w14:textId="77777777" w:rsidR="001908BB" w:rsidRDefault="001908BB" w:rsidP="001908BB">
            <w:pPr>
              <w:pStyle w:val="TableText"/>
            </w:pPr>
          </w:p>
        </w:tc>
        <w:tc>
          <w:tcPr>
            <w:tcW w:w="709" w:type="dxa"/>
          </w:tcPr>
          <w:p w14:paraId="3DEAD196" w14:textId="77777777" w:rsidR="001908BB" w:rsidRDefault="001908BB" w:rsidP="00EC2DB0">
            <w:pPr>
              <w:pStyle w:val="TableText"/>
              <w:numPr>
                <w:ilvl w:val="0"/>
                <w:numId w:val="9"/>
              </w:numPr>
            </w:pPr>
          </w:p>
        </w:tc>
        <w:tc>
          <w:tcPr>
            <w:tcW w:w="5955" w:type="dxa"/>
            <w:gridSpan w:val="8"/>
          </w:tcPr>
          <w:p w14:paraId="74774D51" w14:textId="7F2D46E9" w:rsidR="001908BB" w:rsidRDefault="001908BB" w:rsidP="001908BB">
            <w:pPr>
              <w:pStyle w:val="TableBlock"/>
              <w:rPr>
                <w:rFonts w:ascii="David" w:hAnsi="David"/>
                <w:sz w:val="26"/>
                <w:rtl/>
              </w:rPr>
            </w:pPr>
            <w:r w:rsidRPr="00D25F2F">
              <w:rPr>
                <w:rFonts w:ascii="David" w:hAnsi="David"/>
                <w:sz w:val="26"/>
                <w:rtl/>
              </w:rPr>
              <w:t>אחרי סעיף 8</w:t>
            </w:r>
            <w:r>
              <w:rPr>
                <w:rFonts w:ascii="David" w:hAnsi="David" w:hint="cs"/>
                <w:sz w:val="26"/>
                <w:rtl/>
              </w:rPr>
              <w:t>ו</w:t>
            </w:r>
            <w:r w:rsidRPr="00D25F2F">
              <w:rPr>
                <w:rFonts w:ascii="David" w:hAnsi="David"/>
                <w:sz w:val="26"/>
                <w:rtl/>
              </w:rPr>
              <w:t xml:space="preserve"> יבוא:</w:t>
            </w:r>
          </w:p>
        </w:tc>
      </w:tr>
      <w:tr w:rsidR="001908BB" w:rsidRPr="00D04B16" w14:paraId="3D2E4CB8" w14:textId="77777777" w:rsidTr="00FE12E5">
        <w:tblPrEx>
          <w:tblLook w:val="0000" w:firstRow="0" w:lastRow="0" w:firstColumn="0" w:lastColumn="0" w:noHBand="0" w:noVBand="0"/>
        </w:tblPrEx>
        <w:trPr>
          <w:gridAfter w:val="1"/>
          <w:wAfter w:w="25" w:type="dxa"/>
          <w:cantSplit/>
        </w:trPr>
        <w:tc>
          <w:tcPr>
            <w:tcW w:w="1583" w:type="dxa"/>
            <w:tcMar>
              <w:top w:w="91" w:type="dxa"/>
              <w:left w:w="0" w:type="dxa"/>
              <w:bottom w:w="91" w:type="dxa"/>
              <w:right w:w="0" w:type="dxa"/>
            </w:tcMar>
          </w:tcPr>
          <w:p w14:paraId="5F169336" w14:textId="77777777" w:rsidR="001908BB" w:rsidRPr="00D25F2F" w:rsidRDefault="001908BB" w:rsidP="001908BB">
            <w:pPr>
              <w:pStyle w:val="TableSideHeading"/>
              <w:outlineLvl w:val="9"/>
              <w:rPr>
                <w:rFonts w:ascii="David" w:hAnsi="David"/>
                <w:sz w:val="26"/>
                <w:rtl/>
              </w:rPr>
            </w:pPr>
          </w:p>
        </w:tc>
        <w:tc>
          <w:tcPr>
            <w:tcW w:w="283" w:type="dxa"/>
            <w:tcMar>
              <w:top w:w="91" w:type="dxa"/>
              <w:left w:w="0" w:type="dxa"/>
              <w:bottom w:w="91" w:type="dxa"/>
              <w:right w:w="0" w:type="dxa"/>
            </w:tcMar>
          </w:tcPr>
          <w:p w14:paraId="001A6F17" w14:textId="77777777" w:rsidR="001908BB" w:rsidRPr="00D04B16" w:rsidRDefault="001908BB" w:rsidP="001908BB">
            <w:pPr>
              <w:pStyle w:val="TableText"/>
              <w:rPr>
                <w:rFonts w:ascii="David" w:hAnsi="David"/>
                <w:sz w:val="26"/>
                <w:rtl/>
              </w:rPr>
            </w:pPr>
          </w:p>
        </w:tc>
        <w:tc>
          <w:tcPr>
            <w:tcW w:w="7770" w:type="dxa"/>
            <w:gridSpan w:val="9"/>
            <w:tcMar>
              <w:top w:w="91" w:type="dxa"/>
              <w:left w:w="0" w:type="dxa"/>
              <w:bottom w:w="91" w:type="dxa"/>
              <w:right w:w="0" w:type="dxa"/>
            </w:tcMar>
          </w:tcPr>
          <w:p w14:paraId="11246B1F" w14:textId="582D6A3D" w:rsidR="001908BB" w:rsidRPr="000912DC" w:rsidRDefault="001908BB" w:rsidP="001908BB">
            <w:pPr>
              <w:pStyle w:val="TableBlock"/>
              <w:jc w:val="center"/>
              <w:rPr>
                <w:rFonts w:ascii="David" w:hAnsi="David"/>
                <w:b/>
                <w:bCs/>
                <w:sz w:val="26"/>
                <w:rtl/>
              </w:rPr>
            </w:pPr>
            <w:r w:rsidRPr="000912DC">
              <w:rPr>
                <w:rFonts w:ascii="David" w:hAnsi="David"/>
                <w:b/>
                <w:bCs/>
                <w:sz w:val="26"/>
                <w:rtl/>
              </w:rPr>
              <w:t xml:space="preserve">"סימן </w:t>
            </w:r>
            <w:r w:rsidRPr="000912DC">
              <w:rPr>
                <w:rFonts w:ascii="David" w:hAnsi="David" w:hint="cs"/>
                <w:b/>
                <w:bCs/>
                <w:sz w:val="26"/>
                <w:rtl/>
              </w:rPr>
              <w:t>ד</w:t>
            </w:r>
            <w:r w:rsidRPr="000912DC">
              <w:rPr>
                <w:rFonts w:ascii="David" w:hAnsi="David"/>
                <w:b/>
                <w:bCs/>
                <w:sz w:val="26"/>
                <w:rtl/>
              </w:rPr>
              <w:t xml:space="preserve">': מענק מיוחד – התקופה </w:t>
            </w:r>
            <w:r w:rsidRPr="000912DC">
              <w:rPr>
                <w:rFonts w:ascii="David" w:hAnsi="David" w:hint="cs"/>
                <w:b/>
                <w:bCs/>
                <w:sz w:val="26"/>
                <w:rtl/>
              </w:rPr>
              <w:t xml:space="preserve">הקובעת </w:t>
            </w:r>
            <w:r w:rsidRPr="000912DC">
              <w:rPr>
                <w:rFonts w:ascii="David" w:hAnsi="David"/>
                <w:b/>
                <w:bCs/>
                <w:sz w:val="26"/>
                <w:rtl/>
              </w:rPr>
              <w:t>–</w:t>
            </w:r>
            <w:r w:rsidRPr="000912DC">
              <w:rPr>
                <w:rFonts w:ascii="David" w:hAnsi="David" w:hint="cs"/>
                <w:b/>
                <w:bCs/>
                <w:sz w:val="26"/>
                <w:rtl/>
              </w:rPr>
              <w:t xml:space="preserve"> שאגת הארי</w:t>
            </w:r>
          </w:p>
        </w:tc>
      </w:tr>
      <w:tr w:rsidR="001908BB" w14:paraId="6B1CB13C" w14:textId="77777777" w:rsidTr="00FE12E5">
        <w:trPr>
          <w:cantSplit/>
          <w:trHeight w:val="60"/>
        </w:trPr>
        <w:tc>
          <w:tcPr>
            <w:tcW w:w="1583" w:type="dxa"/>
          </w:tcPr>
          <w:p w14:paraId="3C047485" w14:textId="77777777" w:rsidR="001908BB" w:rsidRDefault="001908BB" w:rsidP="001908BB">
            <w:pPr>
              <w:pStyle w:val="TableSideHeading"/>
            </w:pPr>
          </w:p>
        </w:tc>
        <w:tc>
          <w:tcPr>
            <w:tcW w:w="283" w:type="dxa"/>
          </w:tcPr>
          <w:p w14:paraId="11F6EA83" w14:textId="77777777" w:rsidR="001908BB" w:rsidRDefault="001908BB" w:rsidP="001908BB">
            <w:pPr>
              <w:pStyle w:val="TableText"/>
            </w:pPr>
          </w:p>
        </w:tc>
        <w:tc>
          <w:tcPr>
            <w:tcW w:w="1131" w:type="dxa"/>
          </w:tcPr>
          <w:p w14:paraId="488F4F0C" w14:textId="5A88F2F5" w:rsidR="001908BB" w:rsidRDefault="001908BB" w:rsidP="001908BB">
            <w:pPr>
              <w:pStyle w:val="TableText"/>
            </w:pPr>
            <w:r w:rsidRPr="00D25F2F">
              <w:rPr>
                <w:rFonts w:ascii="David" w:hAnsi="David"/>
                <w:sz w:val="26"/>
                <w:rtl/>
              </w:rPr>
              <w:t xml:space="preserve">זכאות למענק מיוחד </w:t>
            </w:r>
          </w:p>
        </w:tc>
        <w:tc>
          <w:tcPr>
            <w:tcW w:w="709" w:type="dxa"/>
          </w:tcPr>
          <w:p w14:paraId="3CD866B0" w14:textId="52DD8BC7" w:rsidR="001908BB" w:rsidRDefault="001908BB" w:rsidP="001908BB">
            <w:pPr>
              <w:pStyle w:val="TableText"/>
            </w:pPr>
            <w:r w:rsidRPr="00D25F2F">
              <w:rPr>
                <w:rFonts w:ascii="David" w:hAnsi="David"/>
                <w:sz w:val="26"/>
                <w:rtl/>
              </w:rPr>
              <w:t>8</w:t>
            </w:r>
            <w:r>
              <w:rPr>
                <w:rFonts w:ascii="David" w:hAnsi="David" w:hint="cs"/>
                <w:sz w:val="26"/>
                <w:rtl/>
              </w:rPr>
              <w:t>ז</w:t>
            </w:r>
            <w:r w:rsidRPr="00D25F2F">
              <w:rPr>
                <w:rFonts w:ascii="David" w:hAnsi="David"/>
                <w:sz w:val="26"/>
                <w:rtl/>
              </w:rPr>
              <w:t>.</w:t>
            </w:r>
          </w:p>
        </w:tc>
        <w:tc>
          <w:tcPr>
            <w:tcW w:w="5955" w:type="dxa"/>
            <w:gridSpan w:val="8"/>
          </w:tcPr>
          <w:p w14:paraId="54E833EB" w14:textId="184824EA" w:rsidR="001908BB" w:rsidRDefault="001908BB" w:rsidP="001908BB">
            <w:pPr>
              <w:pStyle w:val="TableBlock"/>
              <w:tabs>
                <w:tab w:val="clear" w:pos="1247"/>
              </w:tabs>
            </w:pPr>
            <w:r w:rsidRPr="00D25F2F">
              <w:rPr>
                <w:rFonts w:ascii="David" w:hAnsi="David"/>
                <w:sz w:val="26"/>
                <w:rtl/>
              </w:rPr>
              <w:t>מי שמתקיימים לגביו כל התנאים כמפורט להלן, זכאי למענק מיוחד, לפי הוראות סימן זה:</w:t>
            </w:r>
          </w:p>
        </w:tc>
      </w:tr>
      <w:tr w:rsidR="001908BB" w14:paraId="2413E6D5" w14:textId="77777777" w:rsidTr="00FE12E5">
        <w:trPr>
          <w:cantSplit/>
          <w:trHeight w:val="60"/>
        </w:trPr>
        <w:tc>
          <w:tcPr>
            <w:tcW w:w="1583" w:type="dxa"/>
          </w:tcPr>
          <w:p w14:paraId="4C7A63A5" w14:textId="77777777" w:rsidR="001908BB" w:rsidRDefault="001908BB" w:rsidP="001908BB">
            <w:pPr>
              <w:pStyle w:val="TableSideHeading"/>
            </w:pPr>
          </w:p>
        </w:tc>
        <w:tc>
          <w:tcPr>
            <w:tcW w:w="283" w:type="dxa"/>
          </w:tcPr>
          <w:p w14:paraId="0E4D9BDE" w14:textId="77777777" w:rsidR="001908BB" w:rsidRDefault="001908BB" w:rsidP="001908BB">
            <w:pPr>
              <w:pStyle w:val="TableText"/>
            </w:pPr>
          </w:p>
        </w:tc>
        <w:tc>
          <w:tcPr>
            <w:tcW w:w="1131" w:type="dxa"/>
          </w:tcPr>
          <w:p w14:paraId="52614ED7" w14:textId="77777777" w:rsidR="001908BB" w:rsidRDefault="001908BB" w:rsidP="001908BB">
            <w:pPr>
              <w:pStyle w:val="TableText"/>
            </w:pPr>
          </w:p>
        </w:tc>
        <w:tc>
          <w:tcPr>
            <w:tcW w:w="709" w:type="dxa"/>
          </w:tcPr>
          <w:p w14:paraId="7A1A7AF9" w14:textId="77777777" w:rsidR="001908BB" w:rsidRDefault="001908BB" w:rsidP="001908BB">
            <w:pPr>
              <w:pStyle w:val="TableText"/>
            </w:pPr>
          </w:p>
        </w:tc>
        <w:tc>
          <w:tcPr>
            <w:tcW w:w="687" w:type="dxa"/>
            <w:gridSpan w:val="3"/>
          </w:tcPr>
          <w:p w14:paraId="64EC9FBC" w14:textId="77777777" w:rsidR="001908BB" w:rsidRDefault="001908BB" w:rsidP="001908BB">
            <w:pPr>
              <w:pStyle w:val="TableText"/>
            </w:pPr>
          </w:p>
        </w:tc>
        <w:tc>
          <w:tcPr>
            <w:tcW w:w="5268" w:type="dxa"/>
            <w:gridSpan w:val="5"/>
          </w:tcPr>
          <w:p w14:paraId="64B8E41C" w14:textId="7D4DD704" w:rsidR="001908BB" w:rsidRDefault="001908BB" w:rsidP="00EC2DB0">
            <w:pPr>
              <w:pStyle w:val="TableBlock"/>
              <w:numPr>
                <w:ilvl w:val="0"/>
                <w:numId w:val="10"/>
              </w:numPr>
              <w:tabs>
                <w:tab w:val="left" w:pos="624"/>
              </w:tabs>
            </w:pPr>
            <w:r w:rsidRPr="00D25F2F">
              <w:rPr>
                <w:rFonts w:ascii="David" w:hAnsi="David"/>
                <w:sz w:val="26"/>
                <w:rtl/>
              </w:rPr>
              <w:t xml:space="preserve">בתקופה הקובעת </w:t>
            </w:r>
            <w:r>
              <w:rPr>
                <w:rFonts w:ascii="David" w:hAnsi="David"/>
                <w:sz w:val="26"/>
                <w:rtl/>
              </w:rPr>
              <w:t>–</w:t>
            </w:r>
            <w:r>
              <w:rPr>
                <w:rFonts w:ascii="David" w:hAnsi="David" w:hint="cs"/>
                <w:sz w:val="26"/>
                <w:rtl/>
              </w:rPr>
              <w:t xml:space="preserve"> שאגת הארי </w:t>
            </w:r>
            <w:r w:rsidRPr="00D25F2F">
              <w:rPr>
                <w:rFonts w:ascii="David" w:hAnsi="David"/>
                <w:sz w:val="26"/>
                <w:rtl/>
              </w:rPr>
              <w:t>מתקיימים לגביו התנאים שבסעיף 2(1)(א) ו</w:t>
            </w:r>
            <w:r>
              <w:rPr>
                <w:rFonts w:ascii="David" w:hAnsi="David" w:hint="cs"/>
                <w:sz w:val="26"/>
                <w:rtl/>
              </w:rPr>
              <w:t>־</w:t>
            </w:r>
            <w:r w:rsidRPr="00D25F2F">
              <w:rPr>
                <w:rFonts w:ascii="David" w:hAnsi="David"/>
                <w:sz w:val="26"/>
                <w:rtl/>
              </w:rPr>
              <w:t>(ב);</w:t>
            </w:r>
          </w:p>
        </w:tc>
      </w:tr>
      <w:tr w:rsidR="001908BB" w14:paraId="3AD9719F" w14:textId="77777777" w:rsidTr="00FE12E5">
        <w:trPr>
          <w:cantSplit/>
          <w:trHeight w:val="60"/>
        </w:trPr>
        <w:tc>
          <w:tcPr>
            <w:tcW w:w="1583" w:type="dxa"/>
          </w:tcPr>
          <w:p w14:paraId="176ED8CA" w14:textId="77777777" w:rsidR="001908BB" w:rsidRDefault="001908BB" w:rsidP="001908BB">
            <w:pPr>
              <w:pStyle w:val="TableSideHeading"/>
            </w:pPr>
          </w:p>
        </w:tc>
        <w:tc>
          <w:tcPr>
            <w:tcW w:w="283" w:type="dxa"/>
          </w:tcPr>
          <w:p w14:paraId="127F7F53" w14:textId="77777777" w:rsidR="001908BB" w:rsidRDefault="001908BB" w:rsidP="001908BB">
            <w:pPr>
              <w:pStyle w:val="TableText"/>
            </w:pPr>
          </w:p>
        </w:tc>
        <w:tc>
          <w:tcPr>
            <w:tcW w:w="1131" w:type="dxa"/>
          </w:tcPr>
          <w:p w14:paraId="404440A2" w14:textId="77777777" w:rsidR="001908BB" w:rsidRDefault="001908BB" w:rsidP="001908BB">
            <w:pPr>
              <w:pStyle w:val="TableText"/>
            </w:pPr>
          </w:p>
        </w:tc>
        <w:tc>
          <w:tcPr>
            <w:tcW w:w="709" w:type="dxa"/>
          </w:tcPr>
          <w:p w14:paraId="15706A82" w14:textId="77777777" w:rsidR="001908BB" w:rsidRDefault="001908BB" w:rsidP="001908BB">
            <w:pPr>
              <w:pStyle w:val="TableText"/>
            </w:pPr>
          </w:p>
        </w:tc>
        <w:tc>
          <w:tcPr>
            <w:tcW w:w="687" w:type="dxa"/>
            <w:gridSpan w:val="3"/>
          </w:tcPr>
          <w:p w14:paraId="14B2C709" w14:textId="77777777" w:rsidR="001908BB" w:rsidRDefault="001908BB" w:rsidP="001908BB">
            <w:pPr>
              <w:pStyle w:val="TableText"/>
            </w:pPr>
          </w:p>
        </w:tc>
        <w:tc>
          <w:tcPr>
            <w:tcW w:w="5268" w:type="dxa"/>
            <w:gridSpan w:val="5"/>
          </w:tcPr>
          <w:p w14:paraId="298A5486" w14:textId="55EF9DC3" w:rsidR="001908BB" w:rsidRPr="00D25F2F" w:rsidRDefault="001908BB" w:rsidP="00EC2DB0">
            <w:pPr>
              <w:pStyle w:val="TableBlock"/>
              <w:numPr>
                <w:ilvl w:val="0"/>
                <w:numId w:val="10"/>
              </w:numPr>
              <w:tabs>
                <w:tab w:val="left" w:pos="624"/>
              </w:tabs>
              <w:rPr>
                <w:rFonts w:ascii="David" w:hAnsi="David"/>
                <w:sz w:val="26"/>
                <w:rtl/>
              </w:rPr>
            </w:pPr>
            <w:r w:rsidRPr="00D25F2F">
              <w:rPr>
                <w:rFonts w:ascii="David" w:hAnsi="David"/>
                <w:sz w:val="26"/>
                <w:rtl/>
              </w:rPr>
              <w:t xml:space="preserve">בתקופה הקובעת </w:t>
            </w:r>
            <w:r>
              <w:rPr>
                <w:rFonts w:ascii="David" w:hAnsi="David"/>
                <w:sz w:val="26"/>
                <w:rtl/>
              </w:rPr>
              <w:t>–</w:t>
            </w:r>
            <w:r>
              <w:rPr>
                <w:rFonts w:ascii="David" w:hAnsi="David" w:hint="cs"/>
                <w:sz w:val="26"/>
                <w:rtl/>
              </w:rPr>
              <w:t xml:space="preserve"> שאגת הארי,</w:t>
            </w:r>
            <w:r w:rsidRPr="00D25F2F">
              <w:rPr>
                <w:rFonts w:ascii="David" w:hAnsi="David"/>
                <w:sz w:val="26"/>
                <w:rtl/>
              </w:rPr>
              <w:t xml:space="preserve"> הוא פוטר מעבודתו או הוצא לחופשה ללא תשלום, ביוזמת מעסיקו,  לתקופה רצופה של </w:t>
            </w:r>
            <w:r>
              <w:rPr>
                <w:rFonts w:ascii="David" w:hAnsi="David" w:hint="cs"/>
                <w:sz w:val="26"/>
                <w:rtl/>
              </w:rPr>
              <w:t>14</w:t>
            </w:r>
            <w:r w:rsidRPr="00D25F2F">
              <w:rPr>
                <w:rFonts w:ascii="David" w:hAnsi="David"/>
                <w:sz w:val="26"/>
                <w:rtl/>
              </w:rPr>
              <w:t xml:space="preserve"> ימים לפחות (בסימן זה – הפסקת העסקה);</w:t>
            </w:r>
          </w:p>
        </w:tc>
      </w:tr>
      <w:tr w:rsidR="001908BB" w14:paraId="5BE91F5A" w14:textId="77777777" w:rsidTr="00FE12E5">
        <w:trPr>
          <w:cantSplit/>
          <w:trHeight w:val="60"/>
        </w:trPr>
        <w:tc>
          <w:tcPr>
            <w:tcW w:w="1583" w:type="dxa"/>
          </w:tcPr>
          <w:p w14:paraId="166A80D7" w14:textId="77777777" w:rsidR="001908BB" w:rsidRDefault="001908BB" w:rsidP="001908BB">
            <w:pPr>
              <w:pStyle w:val="TableSideHeading"/>
            </w:pPr>
          </w:p>
        </w:tc>
        <w:tc>
          <w:tcPr>
            <w:tcW w:w="283" w:type="dxa"/>
          </w:tcPr>
          <w:p w14:paraId="0EDD7B65" w14:textId="77777777" w:rsidR="001908BB" w:rsidRDefault="001908BB" w:rsidP="001908BB">
            <w:pPr>
              <w:pStyle w:val="TableText"/>
            </w:pPr>
          </w:p>
        </w:tc>
        <w:tc>
          <w:tcPr>
            <w:tcW w:w="1131" w:type="dxa"/>
          </w:tcPr>
          <w:p w14:paraId="61D38983" w14:textId="77777777" w:rsidR="001908BB" w:rsidRDefault="001908BB" w:rsidP="001908BB">
            <w:pPr>
              <w:pStyle w:val="TableText"/>
            </w:pPr>
          </w:p>
        </w:tc>
        <w:tc>
          <w:tcPr>
            <w:tcW w:w="709" w:type="dxa"/>
          </w:tcPr>
          <w:p w14:paraId="0B4F4CCC" w14:textId="77777777" w:rsidR="001908BB" w:rsidRDefault="001908BB" w:rsidP="001908BB">
            <w:pPr>
              <w:pStyle w:val="TableText"/>
            </w:pPr>
          </w:p>
        </w:tc>
        <w:tc>
          <w:tcPr>
            <w:tcW w:w="687" w:type="dxa"/>
            <w:gridSpan w:val="3"/>
          </w:tcPr>
          <w:p w14:paraId="7C41D84A" w14:textId="77777777" w:rsidR="001908BB" w:rsidRDefault="001908BB" w:rsidP="001908BB">
            <w:pPr>
              <w:pStyle w:val="TableText"/>
            </w:pPr>
          </w:p>
        </w:tc>
        <w:tc>
          <w:tcPr>
            <w:tcW w:w="5268" w:type="dxa"/>
            <w:gridSpan w:val="5"/>
          </w:tcPr>
          <w:p w14:paraId="05139934" w14:textId="4D9102A9" w:rsidR="001908BB" w:rsidRPr="000912DC" w:rsidRDefault="001908BB" w:rsidP="00EC2DB0">
            <w:pPr>
              <w:pStyle w:val="TableBlock"/>
              <w:numPr>
                <w:ilvl w:val="0"/>
                <w:numId w:val="10"/>
              </w:numPr>
              <w:tabs>
                <w:tab w:val="left" w:pos="624"/>
              </w:tabs>
              <w:rPr>
                <w:rFonts w:ascii="David" w:hAnsi="David"/>
                <w:sz w:val="26"/>
                <w:rtl/>
              </w:rPr>
            </w:pPr>
            <w:r w:rsidRPr="00D25F2F">
              <w:rPr>
                <w:rFonts w:ascii="David" w:hAnsi="David"/>
                <w:sz w:val="26"/>
                <w:rtl/>
              </w:rPr>
              <w:t>הוא היה עובד שכיר בתקופה של שלושה חודשים רצופים לפחות שבתכוף לפני החודש שבו חל מועד הפסקת העסקתו כאמור בפסקה (2);</w:t>
            </w:r>
          </w:p>
        </w:tc>
      </w:tr>
      <w:tr w:rsidR="001908BB" w14:paraId="3DF2BF3D" w14:textId="77777777" w:rsidTr="00FE12E5">
        <w:trPr>
          <w:cantSplit/>
          <w:trHeight w:val="60"/>
        </w:trPr>
        <w:tc>
          <w:tcPr>
            <w:tcW w:w="1583" w:type="dxa"/>
          </w:tcPr>
          <w:p w14:paraId="3F39BF9B" w14:textId="77777777" w:rsidR="001908BB" w:rsidRDefault="001908BB" w:rsidP="001908BB">
            <w:pPr>
              <w:pStyle w:val="TableSideHeading"/>
            </w:pPr>
          </w:p>
        </w:tc>
        <w:tc>
          <w:tcPr>
            <w:tcW w:w="283" w:type="dxa"/>
          </w:tcPr>
          <w:p w14:paraId="25787FEB" w14:textId="77777777" w:rsidR="001908BB" w:rsidRDefault="001908BB" w:rsidP="001908BB">
            <w:pPr>
              <w:pStyle w:val="TableText"/>
            </w:pPr>
          </w:p>
        </w:tc>
        <w:tc>
          <w:tcPr>
            <w:tcW w:w="1131" w:type="dxa"/>
          </w:tcPr>
          <w:p w14:paraId="1AD00F59" w14:textId="4C00C9AB" w:rsidR="001908BB" w:rsidRDefault="001908BB" w:rsidP="001908BB">
            <w:pPr>
              <w:pStyle w:val="TableText"/>
            </w:pPr>
            <w:r w:rsidRPr="00D25F2F">
              <w:rPr>
                <w:rFonts w:ascii="David" w:hAnsi="David"/>
                <w:sz w:val="26"/>
                <w:rtl/>
              </w:rPr>
              <w:t>תשלום המענק המיוחד</w:t>
            </w:r>
          </w:p>
        </w:tc>
        <w:tc>
          <w:tcPr>
            <w:tcW w:w="709" w:type="dxa"/>
          </w:tcPr>
          <w:p w14:paraId="3AE98CEB" w14:textId="110D44D0" w:rsidR="001908BB" w:rsidRDefault="001908BB" w:rsidP="001908BB">
            <w:pPr>
              <w:pStyle w:val="TableText"/>
            </w:pPr>
            <w:r>
              <w:rPr>
                <w:rFonts w:hint="cs"/>
                <w:rtl/>
              </w:rPr>
              <w:t xml:space="preserve">8ח. </w:t>
            </w:r>
          </w:p>
        </w:tc>
        <w:tc>
          <w:tcPr>
            <w:tcW w:w="5955" w:type="dxa"/>
            <w:gridSpan w:val="8"/>
          </w:tcPr>
          <w:p w14:paraId="3EE04CE5" w14:textId="11C8672F" w:rsidR="001908BB" w:rsidRPr="00D25F2F" w:rsidRDefault="001908BB" w:rsidP="001908BB">
            <w:pPr>
              <w:pStyle w:val="TableBlock"/>
              <w:tabs>
                <w:tab w:val="clear" w:pos="624"/>
              </w:tabs>
              <w:rPr>
                <w:rFonts w:ascii="David" w:hAnsi="David"/>
                <w:sz w:val="26"/>
                <w:rtl/>
              </w:rPr>
            </w:pPr>
            <w:r w:rsidRPr="00D25F2F">
              <w:rPr>
                <w:rFonts w:ascii="David" w:hAnsi="David"/>
                <w:sz w:val="26"/>
                <w:rtl/>
              </w:rPr>
              <w:t xml:space="preserve">מענק מיוחד </w:t>
            </w:r>
            <w:r>
              <w:rPr>
                <w:rFonts w:ascii="David" w:hAnsi="David" w:hint="cs"/>
                <w:sz w:val="26"/>
                <w:rtl/>
              </w:rPr>
              <w:t xml:space="preserve">לפי סימן זה </w:t>
            </w:r>
            <w:r w:rsidRPr="00D25F2F">
              <w:rPr>
                <w:rFonts w:ascii="David" w:hAnsi="David"/>
                <w:sz w:val="26"/>
                <w:rtl/>
              </w:rPr>
              <w:t>ישולם למי שמתקיימים לגביו כל התנאים כאמור בסעיף 8</w:t>
            </w:r>
            <w:r>
              <w:rPr>
                <w:rFonts w:ascii="David" w:hAnsi="David" w:hint="cs"/>
                <w:sz w:val="26"/>
                <w:rtl/>
              </w:rPr>
              <w:t>ז</w:t>
            </w:r>
            <w:r w:rsidRPr="00D25F2F">
              <w:rPr>
                <w:rFonts w:ascii="David" w:hAnsi="David"/>
                <w:sz w:val="26"/>
                <w:rtl/>
              </w:rPr>
              <w:t>, ו</w:t>
            </w:r>
            <w:r>
              <w:rPr>
                <w:rFonts w:ascii="David" w:hAnsi="David" w:hint="cs"/>
                <w:sz w:val="26"/>
                <w:rtl/>
              </w:rPr>
              <w:t xml:space="preserve">הוא </w:t>
            </w:r>
            <w:r w:rsidRPr="00D25F2F">
              <w:rPr>
                <w:rFonts w:ascii="David" w:hAnsi="David"/>
                <w:sz w:val="26"/>
                <w:rtl/>
              </w:rPr>
              <w:t>יהיה בשיעור של 75% מהכנסתו מעבודה כשהיא מחולקת ב־90, אך לא יותר מ־</w:t>
            </w:r>
            <w:r>
              <w:rPr>
                <w:rFonts w:ascii="David" w:hAnsi="David" w:hint="cs"/>
                <w:sz w:val="26"/>
                <w:rtl/>
              </w:rPr>
              <w:t xml:space="preserve">137 </w:t>
            </w:r>
            <w:r w:rsidRPr="00D25F2F">
              <w:rPr>
                <w:rFonts w:ascii="David" w:hAnsi="David"/>
                <w:sz w:val="26"/>
                <w:rtl/>
              </w:rPr>
              <w:t xml:space="preserve">שקלים חדשים ליום כפול מספר הימים </w:t>
            </w:r>
            <w:r>
              <w:rPr>
                <w:rFonts w:ascii="David" w:hAnsi="David" w:hint="cs"/>
                <w:sz w:val="26"/>
                <w:rtl/>
              </w:rPr>
              <w:t xml:space="preserve">בתקופה הקובעת </w:t>
            </w:r>
            <w:r>
              <w:rPr>
                <w:rFonts w:ascii="David" w:hAnsi="David"/>
                <w:sz w:val="26"/>
                <w:rtl/>
              </w:rPr>
              <w:t>–</w:t>
            </w:r>
            <w:r>
              <w:rPr>
                <w:rFonts w:ascii="David" w:hAnsi="David" w:hint="cs"/>
                <w:sz w:val="26"/>
                <w:rtl/>
              </w:rPr>
              <w:t xml:space="preserve"> שאגת הארי, </w:t>
            </w:r>
            <w:r w:rsidRPr="00D25F2F">
              <w:rPr>
                <w:rFonts w:ascii="David" w:hAnsi="David"/>
                <w:sz w:val="26"/>
                <w:rtl/>
              </w:rPr>
              <w:t>שבהם היה מחוסר עבודה";</w:t>
            </w:r>
          </w:p>
        </w:tc>
      </w:tr>
      <w:tr w:rsidR="001908BB" w14:paraId="1200B063" w14:textId="77777777" w:rsidTr="00FE12E5">
        <w:trPr>
          <w:cantSplit/>
          <w:trHeight w:val="60"/>
        </w:trPr>
        <w:tc>
          <w:tcPr>
            <w:tcW w:w="1583" w:type="dxa"/>
          </w:tcPr>
          <w:p w14:paraId="57FCE889" w14:textId="77777777" w:rsidR="001908BB" w:rsidRDefault="001908BB" w:rsidP="001908BB">
            <w:pPr>
              <w:pStyle w:val="TableSideHeading"/>
            </w:pPr>
          </w:p>
        </w:tc>
        <w:tc>
          <w:tcPr>
            <w:tcW w:w="283" w:type="dxa"/>
          </w:tcPr>
          <w:p w14:paraId="1C71A5A4" w14:textId="77777777" w:rsidR="001908BB" w:rsidRDefault="001908BB" w:rsidP="001908BB">
            <w:pPr>
              <w:pStyle w:val="TableText"/>
            </w:pPr>
          </w:p>
        </w:tc>
        <w:tc>
          <w:tcPr>
            <w:tcW w:w="1131" w:type="dxa"/>
          </w:tcPr>
          <w:p w14:paraId="4EEC3E33" w14:textId="77777777" w:rsidR="001908BB" w:rsidRDefault="001908BB" w:rsidP="001908BB">
            <w:pPr>
              <w:pStyle w:val="TableText"/>
            </w:pPr>
          </w:p>
        </w:tc>
        <w:tc>
          <w:tcPr>
            <w:tcW w:w="709" w:type="dxa"/>
          </w:tcPr>
          <w:p w14:paraId="581AF827" w14:textId="063F997E" w:rsidR="001908BB" w:rsidRDefault="001908BB" w:rsidP="00EC2DB0">
            <w:pPr>
              <w:pStyle w:val="TableText"/>
              <w:numPr>
                <w:ilvl w:val="0"/>
                <w:numId w:val="9"/>
              </w:numPr>
            </w:pPr>
          </w:p>
        </w:tc>
        <w:tc>
          <w:tcPr>
            <w:tcW w:w="5955" w:type="dxa"/>
            <w:gridSpan w:val="8"/>
          </w:tcPr>
          <w:p w14:paraId="5690F480" w14:textId="558E772B" w:rsidR="001908BB" w:rsidRPr="00D25F2F" w:rsidRDefault="001908BB" w:rsidP="001908BB">
            <w:pPr>
              <w:pStyle w:val="TableBlock"/>
              <w:tabs>
                <w:tab w:val="clear" w:pos="624"/>
              </w:tabs>
              <w:rPr>
                <w:rFonts w:ascii="David" w:hAnsi="David"/>
                <w:sz w:val="26"/>
                <w:rtl/>
              </w:rPr>
            </w:pPr>
            <w:r w:rsidRPr="00D25F2F">
              <w:rPr>
                <w:rFonts w:ascii="David" w:hAnsi="David"/>
                <w:sz w:val="26"/>
                <w:rtl/>
              </w:rPr>
              <w:t>בסעיף 10(ב)</w:t>
            </w:r>
            <w:r>
              <w:rPr>
                <w:rFonts w:ascii="David" w:hAnsi="David" w:hint="cs"/>
                <w:sz w:val="26"/>
                <w:rtl/>
              </w:rPr>
              <w:t xml:space="preserve">, </w:t>
            </w:r>
            <w:r w:rsidRPr="00D25F2F">
              <w:rPr>
                <w:rFonts w:ascii="David" w:hAnsi="David"/>
                <w:sz w:val="26"/>
                <w:rtl/>
              </w:rPr>
              <w:t>אחרי פסקה (</w:t>
            </w:r>
            <w:r>
              <w:rPr>
                <w:rFonts w:ascii="David" w:hAnsi="David" w:hint="cs"/>
                <w:sz w:val="26"/>
                <w:rtl/>
              </w:rPr>
              <w:t>2</w:t>
            </w:r>
            <w:r w:rsidRPr="00D25F2F">
              <w:rPr>
                <w:rFonts w:ascii="David" w:hAnsi="David"/>
                <w:sz w:val="26"/>
                <w:rtl/>
              </w:rPr>
              <w:t>) יבוא:</w:t>
            </w:r>
          </w:p>
        </w:tc>
      </w:tr>
      <w:tr w:rsidR="001908BB" w14:paraId="016AAE4F" w14:textId="77777777" w:rsidTr="00FE12E5">
        <w:trPr>
          <w:cantSplit/>
          <w:trHeight w:val="60"/>
        </w:trPr>
        <w:tc>
          <w:tcPr>
            <w:tcW w:w="1583" w:type="dxa"/>
          </w:tcPr>
          <w:p w14:paraId="6C8894B7" w14:textId="77777777" w:rsidR="001908BB" w:rsidRDefault="001908BB" w:rsidP="001908BB">
            <w:pPr>
              <w:pStyle w:val="TableSideHeading"/>
            </w:pPr>
          </w:p>
        </w:tc>
        <w:tc>
          <w:tcPr>
            <w:tcW w:w="283" w:type="dxa"/>
          </w:tcPr>
          <w:p w14:paraId="4EBE28BD" w14:textId="77777777" w:rsidR="001908BB" w:rsidRDefault="001908BB" w:rsidP="001908BB">
            <w:pPr>
              <w:pStyle w:val="TableText"/>
            </w:pPr>
          </w:p>
        </w:tc>
        <w:tc>
          <w:tcPr>
            <w:tcW w:w="1131" w:type="dxa"/>
          </w:tcPr>
          <w:p w14:paraId="702DC907" w14:textId="77777777" w:rsidR="001908BB" w:rsidRDefault="001908BB" w:rsidP="001908BB">
            <w:pPr>
              <w:pStyle w:val="TableText"/>
            </w:pPr>
          </w:p>
        </w:tc>
        <w:tc>
          <w:tcPr>
            <w:tcW w:w="709" w:type="dxa"/>
          </w:tcPr>
          <w:p w14:paraId="278600BD" w14:textId="77777777" w:rsidR="001908BB" w:rsidRDefault="001908BB" w:rsidP="001908BB">
            <w:pPr>
              <w:pStyle w:val="TableText"/>
            </w:pPr>
          </w:p>
        </w:tc>
        <w:tc>
          <w:tcPr>
            <w:tcW w:w="687" w:type="dxa"/>
            <w:gridSpan w:val="3"/>
          </w:tcPr>
          <w:p w14:paraId="5AD71B6A" w14:textId="77777777" w:rsidR="001908BB" w:rsidRDefault="001908BB" w:rsidP="001908BB">
            <w:pPr>
              <w:pStyle w:val="TableText"/>
            </w:pPr>
          </w:p>
        </w:tc>
        <w:tc>
          <w:tcPr>
            <w:tcW w:w="5268" w:type="dxa"/>
            <w:gridSpan w:val="5"/>
          </w:tcPr>
          <w:p w14:paraId="094399A9" w14:textId="3F2A9C73" w:rsidR="001908BB" w:rsidRDefault="001908BB" w:rsidP="001908BB">
            <w:pPr>
              <w:pStyle w:val="TableBlock"/>
            </w:pPr>
            <w:r w:rsidRPr="00D25F2F">
              <w:rPr>
                <w:rFonts w:ascii="David" w:hAnsi="David"/>
                <w:sz w:val="26"/>
                <w:rtl/>
              </w:rPr>
              <w:t>"(</w:t>
            </w:r>
            <w:r>
              <w:rPr>
                <w:rFonts w:ascii="David" w:hAnsi="David" w:hint="cs"/>
                <w:sz w:val="26"/>
                <w:rtl/>
              </w:rPr>
              <w:t>3</w:t>
            </w:r>
            <w:r w:rsidRPr="00D25F2F">
              <w:rPr>
                <w:rFonts w:ascii="David" w:hAnsi="David"/>
                <w:sz w:val="26"/>
                <w:rtl/>
              </w:rPr>
              <w:t>)</w:t>
            </w:r>
            <w:r w:rsidRPr="00D25F2F">
              <w:rPr>
                <w:rFonts w:ascii="David" w:hAnsi="David"/>
                <w:sz w:val="26"/>
                <w:rtl/>
              </w:rPr>
              <w:tab/>
              <w:t xml:space="preserve">בקשה למענק מיוחד – </w:t>
            </w:r>
            <w:r>
              <w:rPr>
                <w:rFonts w:ascii="David" w:hAnsi="David" w:hint="cs"/>
                <w:sz w:val="26"/>
                <w:rtl/>
              </w:rPr>
              <w:t>מלחמות ישראל</w:t>
            </w:r>
            <w:r w:rsidRPr="00D25F2F">
              <w:rPr>
                <w:rFonts w:ascii="David" w:hAnsi="David"/>
                <w:sz w:val="26"/>
                <w:rtl/>
              </w:rPr>
              <w:t xml:space="preserve"> לפי הוראות סימן </w:t>
            </w:r>
            <w:r>
              <w:rPr>
                <w:rFonts w:ascii="David" w:hAnsi="David" w:hint="cs"/>
                <w:sz w:val="26"/>
                <w:rtl/>
              </w:rPr>
              <w:t>ד</w:t>
            </w:r>
            <w:r w:rsidRPr="00D25F2F">
              <w:rPr>
                <w:rFonts w:ascii="David" w:hAnsi="David"/>
                <w:sz w:val="26"/>
                <w:rtl/>
              </w:rPr>
              <w:t xml:space="preserve">' בפרק ג' תוגש עד </w:t>
            </w:r>
            <w:r>
              <w:rPr>
                <w:rFonts w:ascii="David" w:hAnsi="David" w:hint="cs"/>
                <w:sz w:val="26"/>
                <w:rtl/>
              </w:rPr>
              <w:t>תום 12</w:t>
            </w:r>
            <w:r w:rsidRPr="00D25F2F">
              <w:rPr>
                <w:rFonts w:ascii="David" w:hAnsi="David"/>
                <w:sz w:val="26"/>
                <w:rtl/>
              </w:rPr>
              <w:t xml:space="preserve"> חודשים מיום </w:t>
            </w:r>
            <w:r>
              <w:rPr>
                <w:rFonts w:ascii="David" w:hAnsi="David" w:hint="cs"/>
                <w:sz w:val="26"/>
                <w:rtl/>
              </w:rPr>
              <w:t>פרסומו של חוק זה</w:t>
            </w:r>
            <w:r w:rsidRPr="00D25F2F">
              <w:rPr>
                <w:rFonts w:ascii="David" w:hAnsi="David"/>
                <w:sz w:val="26"/>
                <w:rtl/>
              </w:rPr>
              <w:t>."</w:t>
            </w:r>
          </w:p>
        </w:tc>
      </w:tr>
      <w:tr w:rsidR="001908BB" w:rsidRPr="00D04B16" w14:paraId="3569EB05" w14:textId="77777777" w:rsidTr="00FE12E5">
        <w:tblPrEx>
          <w:tblLook w:val="0000" w:firstRow="0" w:lastRow="0" w:firstColumn="0" w:lastColumn="0" w:noHBand="0" w:noVBand="0"/>
        </w:tblPrEx>
        <w:trPr>
          <w:gridAfter w:val="1"/>
          <w:wAfter w:w="25" w:type="dxa"/>
          <w:cantSplit/>
        </w:trPr>
        <w:tc>
          <w:tcPr>
            <w:tcW w:w="1583" w:type="dxa"/>
            <w:tcMar>
              <w:top w:w="91" w:type="dxa"/>
              <w:left w:w="0" w:type="dxa"/>
              <w:bottom w:w="91" w:type="dxa"/>
              <w:right w:w="0" w:type="dxa"/>
            </w:tcMar>
          </w:tcPr>
          <w:p w14:paraId="1D225D65" w14:textId="77777777" w:rsidR="001908BB" w:rsidRDefault="001908BB" w:rsidP="001908BB">
            <w:pPr>
              <w:pStyle w:val="TableSideHeading"/>
              <w:rPr>
                <w:rFonts w:ascii="David" w:hAnsi="David"/>
                <w:sz w:val="26"/>
                <w:rtl/>
              </w:rPr>
            </w:pPr>
            <w:bookmarkStart w:id="28" w:name="_Toc224817818"/>
            <w:bookmarkStart w:id="29" w:name="_Toc224817848"/>
            <w:r w:rsidRPr="00D25F2F">
              <w:rPr>
                <w:rFonts w:ascii="David" w:hAnsi="David"/>
                <w:sz w:val="26"/>
                <w:rtl/>
              </w:rPr>
              <w:t>תשלומים ראשונים</w:t>
            </w:r>
            <w:bookmarkEnd w:id="28"/>
            <w:bookmarkEnd w:id="29"/>
            <w:r w:rsidRPr="00D25F2F">
              <w:rPr>
                <w:rFonts w:ascii="David" w:hAnsi="David"/>
                <w:sz w:val="26"/>
                <w:rtl/>
              </w:rPr>
              <w:t xml:space="preserve"> </w:t>
            </w:r>
          </w:p>
          <w:p w14:paraId="07ECBC4E" w14:textId="77777777" w:rsidR="001908BB" w:rsidRPr="00D25F2F" w:rsidRDefault="001908BB" w:rsidP="001908BB">
            <w:pPr>
              <w:pStyle w:val="TableSideHeading"/>
              <w:outlineLvl w:val="9"/>
              <w:rPr>
                <w:rFonts w:ascii="David" w:hAnsi="David"/>
                <w:sz w:val="26"/>
                <w:rtl/>
              </w:rPr>
            </w:pPr>
          </w:p>
        </w:tc>
        <w:tc>
          <w:tcPr>
            <w:tcW w:w="283" w:type="dxa"/>
            <w:tcMar>
              <w:top w:w="91" w:type="dxa"/>
              <w:left w:w="0" w:type="dxa"/>
              <w:bottom w:w="91" w:type="dxa"/>
              <w:right w:w="0" w:type="dxa"/>
            </w:tcMar>
          </w:tcPr>
          <w:p w14:paraId="2000C09A" w14:textId="48E1140B" w:rsidR="001908BB" w:rsidRPr="00D04B16" w:rsidRDefault="001908BB" w:rsidP="00EC2DB0">
            <w:pPr>
              <w:pStyle w:val="TableText"/>
              <w:numPr>
                <w:ilvl w:val="0"/>
                <w:numId w:val="13"/>
              </w:numPr>
              <w:rPr>
                <w:rFonts w:ascii="David" w:hAnsi="David"/>
                <w:sz w:val="26"/>
                <w:rtl/>
              </w:rPr>
            </w:pPr>
          </w:p>
        </w:tc>
        <w:tc>
          <w:tcPr>
            <w:tcW w:w="7770" w:type="dxa"/>
            <w:gridSpan w:val="9"/>
            <w:tcMar>
              <w:top w:w="91" w:type="dxa"/>
              <w:left w:w="0" w:type="dxa"/>
              <w:bottom w:w="91" w:type="dxa"/>
              <w:right w:w="0" w:type="dxa"/>
            </w:tcMar>
          </w:tcPr>
          <w:p w14:paraId="57E98A42" w14:textId="15868601" w:rsidR="001908BB" w:rsidRPr="000912DC" w:rsidRDefault="001908BB" w:rsidP="001908BB">
            <w:pPr>
              <w:pStyle w:val="TableBlock"/>
              <w:rPr>
                <w:rFonts w:ascii="David" w:hAnsi="David"/>
                <w:b/>
                <w:bCs/>
                <w:sz w:val="26"/>
                <w:rtl/>
              </w:rPr>
            </w:pPr>
            <w:r w:rsidRPr="00D25F2F">
              <w:rPr>
                <w:rFonts w:ascii="David" w:hAnsi="David"/>
                <w:sz w:val="26"/>
                <w:rtl/>
              </w:rPr>
              <w:t>תשלומים ראשונים לפי חוק הביטוח הלאומי ולפי חוק מענק מיוחד</w:t>
            </w:r>
            <w:r w:rsidR="00F956AC">
              <w:rPr>
                <w:rFonts w:ascii="David" w:hAnsi="David" w:hint="cs"/>
                <w:sz w:val="26"/>
                <w:rtl/>
              </w:rPr>
              <w:t>,</w:t>
            </w:r>
            <w:r>
              <w:rPr>
                <w:rFonts w:ascii="David" w:hAnsi="David" w:hint="cs"/>
                <w:sz w:val="26"/>
                <w:rtl/>
              </w:rPr>
              <w:t xml:space="preserve"> </w:t>
            </w:r>
            <w:r w:rsidRPr="00D25F2F">
              <w:rPr>
                <w:rFonts w:ascii="David" w:hAnsi="David"/>
                <w:sz w:val="26"/>
                <w:rtl/>
              </w:rPr>
              <w:t>כנוסח</w:t>
            </w:r>
            <w:r>
              <w:rPr>
                <w:rFonts w:ascii="David" w:hAnsi="David" w:hint="cs"/>
                <w:sz w:val="26"/>
                <w:rtl/>
              </w:rPr>
              <w:t>ם</w:t>
            </w:r>
            <w:r w:rsidRPr="00D25F2F">
              <w:rPr>
                <w:rFonts w:ascii="David" w:hAnsi="David"/>
                <w:sz w:val="26"/>
                <w:rtl/>
              </w:rPr>
              <w:t xml:space="preserve"> </w:t>
            </w:r>
            <w:r>
              <w:rPr>
                <w:rFonts w:ascii="David" w:hAnsi="David" w:hint="cs"/>
                <w:sz w:val="26"/>
                <w:rtl/>
              </w:rPr>
              <w:t>ב</w:t>
            </w:r>
            <w:r w:rsidRPr="00D25F2F">
              <w:rPr>
                <w:rFonts w:ascii="David" w:hAnsi="David"/>
                <w:sz w:val="26"/>
                <w:rtl/>
              </w:rPr>
              <w:t>חוק זה, ישולמו בתוך 30 ימים מיום פרסומו של חוק זה.</w:t>
            </w:r>
          </w:p>
        </w:tc>
      </w:tr>
      <w:tr w:rsidR="001908BB" w:rsidRPr="00D04B16" w14:paraId="77696F35" w14:textId="77777777" w:rsidTr="00FE12E5">
        <w:tblPrEx>
          <w:tblLook w:val="0000" w:firstRow="0" w:lastRow="0" w:firstColumn="0" w:lastColumn="0" w:noHBand="0" w:noVBand="0"/>
        </w:tblPrEx>
        <w:trPr>
          <w:gridAfter w:val="1"/>
          <w:wAfter w:w="25" w:type="dxa"/>
          <w:cantSplit/>
        </w:trPr>
        <w:tc>
          <w:tcPr>
            <w:tcW w:w="1583" w:type="dxa"/>
            <w:tcMar>
              <w:top w:w="91" w:type="dxa"/>
              <w:left w:w="0" w:type="dxa"/>
              <w:bottom w:w="91" w:type="dxa"/>
              <w:right w:w="0" w:type="dxa"/>
            </w:tcMar>
          </w:tcPr>
          <w:p w14:paraId="30ED0174" w14:textId="3C2784A3" w:rsidR="001908BB" w:rsidRPr="00D04B16" w:rsidRDefault="001908BB" w:rsidP="001908BB">
            <w:pPr>
              <w:pStyle w:val="TableSideHeading"/>
              <w:rPr>
                <w:rtl/>
              </w:rPr>
            </w:pPr>
            <w:bookmarkStart w:id="30" w:name="_Toc201873212"/>
            <w:bookmarkStart w:id="31" w:name="_Toc201873242"/>
            <w:bookmarkStart w:id="32" w:name="_Toc224817819"/>
            <w:bookmarkStart w:id="33" w:name="_Toc224817849"/>
            <w:r w:rsidRPr="00D04B16">
              <w:rPr>
                <w:rtl/>
              </w:rPr>
              <w:t>תיקון חוק עבודת נשים</w:t>
            </w:r>
            <w:r w:rsidRPr="00D04B16">
              <w:rPr>
                <w:rFonts w:hint="cs"/>
                <w:rtl/>
              </w:rPr>
              <w:t xml:space="preserve"> </w:t>
            </w:r>
            <w:r w:rsidRPr="00D04B16">
              <w:rPr>
                <w:rtl/>
              </w:rPr>
              <w:t>–</w:t>
            </w:r>
            <w:r w:rsidRPr="00D04B16">
              <w:rPr>
                <w:rFonts w:hint="cs"/>
                <w:rtl/>
              </w:rPr>
              <w:t xml:space="preserve"> הוראת שעה</w:t>
            </w:r>
            <w:bookmarkEnd w:id="30"/>
            <w:bookmarkEnd w:id="31"/>
            <w:bookmarkEnd w:id="32"/>
            <w:bookmarkEnd w:id="33"/>
          </w:p>
          <w:p w14:paraId="0F5D80DB" w14:textId="77777777" w:rsidR="001908BB" w:rsidRPr="00D04B16" w:rsidRDefault="001908BB" w:rsidP="001908BB">
            <w:pPr>
              <w:pStyle w:val="TableSideHeading"/>
              <w:rPr>
                <w:rtl/>
              </w:rPr>
            </w:pPr>
          </w:p>
        </w:tc>
        <w:tc>
          <w:tcPr>
            <w:tcW w:w="283" w:type="dxa"/>
            <w:tcMar>
              <w:top w:w="91" w:type="dxa"/>
              <w:left w:w="0" w:type="dxa"/>
              <w:bottom w:w="91" w:type="dxa"/>
              <w:right w:w="0" w:type="dxa"/>
            </w:tcMar>
          </w:tcPr>
          <w:p w14:paraId="11251080" w14:textId="5FC02B61" w:rsidR="001908BB" w:rsidRPr="00D04B16" w:rsidRDefault="001908BB" w:rsidP="00EC2DB0">
            <w:pPr>
              <w:pStyle w:val="TableText"/>
              <w:numPr>
                <w:ilvl w:val="0"/>
                <w:numId w:val="13"/>
              </w:numPr>
              <w:rPr>
                <w:rFonts w:ascii="David" w:hAnsi="David"/>
                <w:sz w:val="26"/>
                <w:rtl/>
              </w:rPr>
            </w:pPr>
          </w:p>
        </w:tc>
        <w:tc>
          <w:tcPr>
            <w:tcW w:w="7770" w:type="dxa"/>
            <w:gridSpan w:val="9"/>
            <w:tcMar>
              <w:top w:w="91" w:type="dxa"/>
              <w:left w:w="0" w:type="dxa"/>
              <w:bottom w:w="91" w:type="dxa"/>
              <w:right w:w="0" w:type="dxa"/>
            </w:tcMar>
          </w:tcPr>
          <w:p w14:paraId="55F6C827" w14:textId="64CF9985" w:rsidR="001908BB" w:rsidRPr="00D04B16" w:rsidRDefault="001908BB" w:rsidP="001908BB">
            <w:pPr>
              <w:pStyle w:val="TableBlock"/>
              <w:rPr>
                <w:rFonts w:ascii="David" w:hAnsi="David"/>
                <w:sz w:val="26"/>
                <w:rtl/>
              </w:rPr>
            </w:pPr>
            <w:r w:rsidRPr="00D04B16">
              <w:rPr>
                <w:rFonts w:hint="cs"/>
                <w:rtl/>
              </w:rPr>
              <w:t xml:space="preserve">בתקופת הוראת השעה, יקראו את חוק עבודת נשים, </w:t>
            </w:r>
            <w:proofErr w:type="spellStart"/>
            <w:r w:rsidRPr="00D04B16">
              <w:rPr>
                <w:rtl/>
              </w:rPr>
              <w:t>התשי</w:t>
            </w:r>
            <w:proofErr w:type="spellEnd"/>
            <w:r w:rsidRPr="00D04B16">
              <w:rPr>
                <w:rtl/>
              </w:rPr>
              <w:t>"ד</w:t>
            </w:r>
            <w:r w:rsidRPr="00D04B16">
              <w:rPr>
                <w:rFonts w:hint="cs"/>
                <w:rtl/>
              </w:rPr>
              <w:t>–</w:t>
            </w:r>
            <w:r w:rsidRPr="00D04B16">
              <w:rPr>
                <w:rtl/>
              </w:rPr>
              <w:t>1954</w:t>
            </w:r>
            <w:r w:rsidR="00F956AC">
              <w:rPr>
                <w:rStyle w:val="a8"/>
                <w:rtl/>
              </w:rPr>
              <w:footnoteReference w:id="3"/>
            </w:r>
            <w:r w:rsidRPr="00D04B16">
              <w:rPr>
                <w:rFonts w:hint="cs"/>
                <w:rtl/>
              </w:rPr>
              <w:t xml:space="preserve"> (להלן </w:t>
            </w:r>
            <w:r w:rsidRPr="00D04B16">
              <w:rPr>
                <w:rtl/>
              </w:rPr>
              <w:t>–</w:t>
            </w:r>
            <w:r w:rsidRPr="00D04B16">
              <w:rPr>
                <w:rFonts w:hint="cs"/>
                <w:rtl/>
              </w:rPr>
              <w:t xml:space="preserve"> חוק עבודת נשים), כך:</w:t>
            </w:r>
          </w:p>
        </w:tc>
      </w:tr>
      <w:tr w:rsidR="001908BB" w:rsidRPr="00D04B16" w14:paraId="33E217A6" w14:textId="77777777" w:rsidTr="00FE12E5">
        <w:tblPrEx>
          <w:tblLook w:val="0000" w:firstRow="0" w:lastRow="0" w:firstColumn="0" w:lastColumn="0" w:noHBand="0" w:noVBand="0"/>
        </w:tblPrEx>
        <w:trPr>
          <w:gridAfter w:val="1"/>
          <w:wAfter w:w="25" w:type="dxa"/>
          <w:cantSplit/>
        </w:trPr>
        <w:tc>
          <w:tcPr>
            <w:tcW w:w="1583" w:type="dxa"/>
            <w:tcMar>
              <w:top w:w="91" w:type="dxa"/>
              <w:left w:w="0" w:type="dxa"/>
              <w:bottom w:w="91" w:type="dxa"/>
              <w:right w:w="0" w:type="dxa"/>
            </w:tcMar>
          </w:tcPr>
          <w:p w14:paraId="22DC4BCD" w14:textId="77777777" w:rsidR="001908BB" w:rsidRPr="00D04B16" w:rsidRDefault="001908BB" w:rsidP="001908BB">
            <w:pPr>
              <w:pStyle w:val="TableSideHeading"/>
              <w:rPr>
                <w:rtl/>
              </w:rPr>
            </w:pPr>
          </w:p>
        </w:tc>
        <w:tc>
          <w:tcPr>
            <w:tcW w:w="283" w:type="dxa"/>
            <w:tcMar>
              <w:top w:w="91" w:type="dxa"/>
              <w:left w:w="0" w:type="dxa"/>
              <w:bottom w:w="91" w:type="dxa"/>
              <w:right w:w="0" w:type="dxa"/>
            </w:tcMar>
          </w:tcPr>
          <w:p w14:paraId="7854C193" w14:textId="77777777" w:rsidR="001908BB" w:rsidRPr="00D04B16" w:rsidRDefault="001908BB" w:rsidP="001908BB">
            <w:pPr>
              <w:pStyle w:val="TableText"/>
              <w:rPr>
                <w:rtl/>
              </w:rPr>
            </w:pPr>
          </w:p>
        </w:tc>
        <w:tc>
          <w:tcPr>
            <w:tcW w:w="7770" w:type="dxa"/>
            <w:gridSpan w:val="9"/>
            <w:tcMar>
              <w:top w:w="91" w:type="dxa"/>
              <w:left w:w="0" w:type="dxa"/>
              <w:bottom w:w="91" w:type="dxa"/>
              <w:right w:w="0" w:type="dxa"/>
            </w:tcMar>
          </w:tcPr>
          <w:p w14:paraId="669316E4" w14:textId="77777777" w:rsidR="001908BB" w:rsidRPr="00D04B16" w:rsidRDefault="001908BB" w:rsidP="00EC2DB0">
            <w:pPr>
              <w:pStyle w:val="TableBlock"/>
              <w:numPr>
                <w:ilvl w:val="0"/>
                <w:numId w:val="6"/>
              </w:numPr>
              <w:tabs>
                <w:tab w:val="left" w:pos="624"/>
              </w:tabs>
              <w:rPr>
                <w:rtl/>
              </w:rPr>
            </w:pPr>
            <w:r w:rsidRPr="00D04B16">
              <w:rPr>
                <w:rFonts w:hint="cs"/>
                <w:rtl/>
              </w:rPr>
              <w:t>ב</w:t>
            </w:r>
            <w:r w:rsidRPr="00D04B16">
              <w:rPr>
                <w:rtl/>
              </w:rPr>
              <w:t>סעיף 9(ג)</w:t>
            </w:r>
            <w:r w:rsidRPr="00D04B16">
              <w:rPr>
                <w:rFonts w:hint="cs"/>
                <w:rtl/>
              </w:rPr>
              <w:t>,</w:t>
            </w:r>
            <w:r w:rsidRPr="00D04B16">
              <w:rPr>
                <w:rtl/>
              </w:rPr>
              <w:t xml:space="preserve"> </w:t>
            </w:r>
            <w:r w:rsidRPr="00D04B16">
              <w:rPr>
                <w:rFonts w:hint="cs"/>
                <w:rtl/>
              </w:rPr>
              <w:t>לפני פסקה (3) יבוא:</w:t>
            </w:r>
          </w:p>
        </w:tc>
      </w:tr>
      <w:tr w:rsidR="001908BB" w:rsidRPr="00D04B16" w14:paraId="2BF24CE7" w14:textId="77777777" w:rsidTr="00FE12E5">
        <w:trPr>
          <w:cantSplit/>
          <w:trHeight w:val="60"/>
        </w:trPr>
        <w:tc>
          <w:tcPr>
            <w:tcW w:w="1583" w:type="dxa"/>
          </w:tcPr>
          <w:p w14:paraId="03B20796" w14:textId="77777777" w:rsidR="001908BB" w:rsidRPr="00D04B16" w:rsidRDefault="001908BB" w:rsidP="001908BB">
            <w:pPr>
              <w:pStyle w:val="TableSideHeading"/>
              <w:keepLines w:val="0"/>
            </w:pPr>
          </w:p>
        </w:tc>
        <w:tc>
          <w:tcPr>
            <w:tcW w:w="283" w:type="dxa"/>
          </w:tcPr>
          <w:p w14:paraId="5FD9B585" w14:textId="77777777" w:rsidR="001908BB" w:rsidRPr="00D04B16" w:rsidRDefault="001908BB" w:rsidP="001908BB">
            <w:pPr>
              <w:pStyle w:val="TableText"/>
              <w:keepLines w:val="0"/>
            </w:pPr>
          </w:p>
        </w:tc>
        <w:tc>
          <w:tcPr>
            <w:tcW w:w="1131" w:type="dxa"/>
          </w:tcPr>
          <w:p w14:paraId="3E1599B7" w14:textId="77777777" w:rsidR="001908BB" w:rsidRPr="00D04B16" w:rsidRDefault="001908BB" w:rsidP="001908BB">
            <w:pPr>
              <w:pStyle w:val="TableText"/>
              <w:keepLines w:val="0"/>
            </w:pPr>
          </w:p>
        </w:tc>
        <w:tc>
          <w:tcPr>
            <w:tcW w:w="709" w:type="dxa"/>
          </w:tcPr>
          <w:p w14:paraId="5DB6D89F" w14:textId="5716D7A0" w:rsidR="001908BB" w:rsidRPr="00D04B16" w:rsidRDefault="001908BB" w:rsidP="001908BB">
            <w:pPr>
              <w:pStyle w:val="TableText"/>
              <w:keepLines w:val="0"/>
            </w:pPr>
            <w:r w:rsidRPr="00D04B16">
              <w:rPr>
                <w:rFonts w:hint="cs"/>
                <w:rtl/>
              </w:rPr>
              <w:t>"(2</w:t>
            </w:r>
            <w:r>
              <w:rPr>
                <w:rFonts w:hint="cs"/>
                <w:rtl/>
              </w:rPr>
              <w:t>ג</w:t>
            </w:r>
            <w:r w:rsidRPr="00D04B16">
              <w:rPr>
                <w:rFonts w:hint="cs"/>
                <w:rtl/>
              </w:rPr>
              <w:t>)</w:t>
            </w:r>
          </w:p>
        </w:tc>
        <w:tc>
          <w:tcPr>
            <w:tcW w:w="580" w:type="dxa"/>
            <w:gridSpan w:val="2"/>
          </w:tcPr>
          <w:p w14:paraId="4AA12F1E" w14:textId="77777777" w:rsidR="001908BB" w:rsidRPr="00D04B16" w:rsidRDefault="001908BB" w:rsidP="00EC2DB0">
            <w:pPr>
              <w:pStyle w:val="TableText"/>
              <w:numPr>
                <w:ilvl w:val="0"/>
                <w:numId w:val="7"/>
              </w:numPr>
              <w:tabs>
                <w:tab w:val="left" w:pos="624"/>
              </w:tabs>
              <w:jc w:val="both"/>
            </w:pPr>
          </w:p>
        </w:tc>
        <w:tc>
          <w:tcPr>
            <w:tcW w:w="5375" w:type="dxa"/>
            <w:gridSpan w:val="6"/>
          </w:tcPr>
          <w:p w14:paraId="24996632" w14:textId="5187B9EE" w:rsidR="001908BB" w:rsidRPr="00D04B16" w:rsidRDefault="001908BB" w:rsidP="001908BB">
            <w:pPr>
              <w:pStyle w:val="TableBlock"/>
              <w:keepLines w:val="0"/>
            </w:pPr>
            <w:r w:rsidRPr="00D25F2F">
              <w:rPr>
                <w:rFonts w:ascii="David" w:hAnsi="David"/>
                <w:sz w:val="26"/>
                <w:rtl/>
              </w:rPr>
              <w:t xml:space="preserve">הוציא </w:t>
            </w:r>
            <w:r w:rsidRPr="00D244B3">
              <w:rPr>
                <w:rFonts w:ascii="David" w:hAnsi="David"/>
                <w:sz w:val="26"/>
                <w:rtl/>
              </w:rPr>
              <w:t xml:space="preserve">מעסיק עובד </w:t>
            </w:r>
            <w:r w:rsidRPr="004A68E4">
              <w:rPr>
                <w:rFonts w:ascii="David" w:hAnsi="David"/>
                <w:sz w:val="26"/>
                <w:rtl/>
              </w:rPr>
              <w:t xml:space="preserve">או עובדת לחופשה ללא תשלום במהלך התקופה הקובעת, לתקופה רצופה של </w:t>
            </w:r>
            <w:r w:rsidRPr="004A68E4">
              <w:rPr>
                <w:rFonts w:ascii="David" w:hAnsi="David" w:hint="cs"/>
                <w:sz w:val="26"/>
                <w:rtl/>
              </w:rPr>
              <w:t xml:space="preserve">14 </w:t>
            </w:r>
            <w:r w:rsidRPr="004A68E4">
              <w:rPr>
                <w:rFonts w:ascii="David" w:hAnsi="David"/>
                <w:sz w:val="26"/>
                <w:rtl/>
              </w:rPr>
              <w:t>ימים לפחות שחלה כולה או חלקה ב־60</w:t>
            </w:r>
            <w:r w:rsidRPr="00D244B3">
              <w:rPr>
                <w:rFonts w:ascii="David" w:hAnsi="David"/>
                <w:sz w:val="26"/>
                <w:rtl/>
              </w:rPr>
              <w:t xml:space="preserve"> הימים כאמור בפסקה (1א) או (2), לא תובא תקופת החופשה ללא תשלום במניין 60 הימים; בפסקה זו, "התקופה </w:t>
            </w:r>
            <w:r w:rsidRPr="00C47194">
              <w:rPr>
                <w:rFonts w:ascii="David" w:hAnsi="David"/>
                <w:sz w:val="26"/>
                <w:rtl/>
              </w:rPr>
              <w:t xml:space="preserve">הקובעת" – </w:t>
            </w:r>
            <w:r w:rsidR="00741CA8" w:rsidRPr="00C47194">
              <w:rPr>
                <w:rFonts w:ascii="David" w:hAnsi="David"/>
                <w:sz w:val="26"/>
                <w:rtl/>
              </w:rPr>
              <w:t>התקופה שמיום י"</w:t>
            </w:r>
            <w:r w:rsidR="00741CA8" w:rsidRPr="00C47194">
              <w:rPr>
                <w:rFonts w:ascii="David" w:hAnsi="David" w:hint="cs"/>
                <w:sz w:val="26"/>
                <w:rtl/>
              </w:rPr>
              <w:t>א</w:t>
            </w:r>
            <w:r w:rsidR="00741CA8" w:rsidRPr="00C47194">
              <w:rPr>
                <w:rFonts w:ascii="David" w:hAnsi="David"/>
                <w:sz w:val="26"/>
                <w:rtl/>
              </w:rPr>
              <w:t xml:space="preserve"> ב</w:t>
            </w:r>
            <w:r w:rsidR="00741CA8" w:rsidRPr="00C47194">
              <w:rPr>
                <w:rFonts w:ascii="David" w:hAnsi="David" w:hint="cs"/>
                <w:sz w:val="26"/>
                <w:rtl/>
              </w:rPr>
              <w:t>אדר</w:t>
            </w:r>
            <w:r w:rsidR="00741CA8" w:rsidRPr="00C47194">
              <w:rPr>
                <w:rFonts w:ascii="David" w:hAnsi="David"/>
                <w:sz w:val="26"/>
                <w:rtl/>
              </w:rPr>
              <w:t xml:space="preserve"> </w:t>
            </w:r>
            <w:proofErr w:type="spellStart"/>
            <w:r w:rsidR="00741CA8" w:rsidRPr="00C47194">
              <w:rPr>
                <w:rFonts w:ascii="David" w:hAnsi="David"/>
                <w:sz w:val="26"/>
                <w:rtl/>
              </w:rPr>
              <w:t>התשפ</w:t>
            </w:r>
            <w:proofErr w:type="spellEnd"/>
            <w:r w:rsidR="00741CA8" w:rsidRPr="00C47194">
              <w:rPr>
                <w:rFonts w:ascii="David" w:hAnsi="David"/>
                <w:sz w:val="26"/>
                <w:rtl/>
              </w:rPr>
              <w:t>"</w:t>
            </w:r>
            <w:r w:rsidR="00741CA8" w:rsidRPr="00C47194">
              <w:rPr>
                <w:rFonts w:ascii="David" w:hAnsi="David" w:hint="cs"/>
                <w:sz w:val="26"/>
                <w:rtl/>
              </w:rPr>
              <w:t>ו</w:t>
            </w:r>
            <w:r w:rsidR="00741CA8" w:rsidRPr="00C47194">
              <w:rPr>
                <w:rFonts w:ascii="David" w:hAnsi="David"/>
                <w:sz w:val="26"/>
                <w:rtl/>
              </w:rPr>
              <w:t xml:space="preserve"> (</w:t>
            </w:r>
            <w:r w:rsidR="00741CA8" w:rsidRPr="00C47194">
              <w:rPr>
                <w:rFonts w:ascii="David" w:hAnsi="David" w:hint="cs"/>
                <w:sz w:val="26"/>
                <w:rtl/>
              </w:rPr>
              <w:t>28</w:t>
            </w:r>
            <w:r w:rsidR="00741CA8" w:rsidRPr="00C47194">
              <w:rPr>
                <w:rFonts w:ascii="David" w:hAnsi="David"/>
                <w:sz w:val="26"/>
                <w:rtl/>
              </w:rPr>
              <w:t xml:space="preserve"> ב</w:t>
            </w:r>
            <w:r w:rsidR="00741CA8" w:rsidRPr="00C47194">
              <w:rPr>
                <w:rFonts w:ascii="David" w:hAnsi="David" w:hint="cs"/>
                <w:sz w:val="26"/>
                <w:rtl/>
              </w:rPr>
              <w:t>פברואר</w:t>
            </w:r>
            <w:r w:rsidR="00741CA8" w:rsidRPr="00C47194">
              <w:rPr>
                <w:rFonts w:ascii="David" w:hAnsi="David"/>
                <w:sz w:val="26"/>
                <w:rtl/>
              </w:rPr>
              <w:t xml:space="preserve"> 202</w:t>
            </w:r>
            <w:r w:rsidR="00741CA8" w:rsidRPr="00C47194">
              <w:rPr>
                <w:rFonts w:ascii="David" w:hAnsi="David" w:hint="cs"/>
                <w:sz w:val="26"/>
                <w:rtl/>
              </w:rPr>
              <w:t>6</w:t>
            </w:r>
            <w:r w:rsidR="00741CA8" w:rsidRPr="00C47194">
              <w:rPr>
                <w:rFonts w:ascii="David" w:hAnsi="David"/>
                <w:sz w:val="26"/>
                <w:rtl/>
              </w:rPr>
              <w:t xml:space="preserve">) עד יום </w:t>
            </w:r>
            <w:r w:rsidR="00741CA8" w:rsidRPr="00C47194">
              <w:rPr>
                <w:rFonts w:ascii="David" w:hAnsi="David" w:hint="cs"/>
                <w:sz w:val="26"/>
                <w:rtl/>
              </w:rPr>
              <w:t>י"ג באייר</w:t>
            </w:r>
            <w:r w:rsidR="00741CA8" w:rsidRPr="00C47194">
              <w:rPr>
                <w:rFonts w:ascii="David" w:hAnsi="David"/>
                <w:sz w:val="26"/>
                <w:rtl/>
              </w:rPr>
              <w:t xml:space="preserve"> </w:t>
            </w:r>
            <w:proofErr w:type="spellStart"/>
            <w:r w:rsidR="00741CA8" w:rsidRPr="00C47194">
              <w:rPr>
                <w:rFonts w:ascii="David" w:hAnsi="David"/>
                <w:sz w:val="26"/>
                <w:rtl/>
              </w:rPr>
              <w:t>התשפ</w:t>
            </w:r>
            <w:proofErr w:type="spellEnd"/>
            <w:r w:rsidR="00741CA8" w:rsidRPr="00C47194">
              <w:rPr>
                <w:rFonts w:ascii="David" w:hAnsi="David"/>
                <w:sz w:val="26"/>
                <w:rtl/>
              </w:rPr>
              <w:t>"</w:t>
            </w:r>
            <w:r w:rsidR="00741CA8" w:rsidRPr="00C47194">
              <w:rPr>
                <w:rFonts w:ascii="David" w:hAnsi="David" w:hint="cs"/>
                <w:sz w:val="26"/>
                <w:rtl/>
              </w:rPr>
              <w:t>ו</w:t>
            </w:r>
            <w:r w:rsidR="00741CA8" w:rsidRPr="00C47194">
              <w:rPr>
                <w:rFonts w:ascii="David" w:hAnsi="David"/>
                <w:sz w:val="26"/>
                <w:rtl/>
              </w:rPr>
              <w:t xml:space="preserve"> (</w:t>
            </w:r>
            <w:r w:rsidR="00741CA8" w:rsidRPr="00C47194">
              <w:rPr>
                <w:rFonts w:ascii="David" w:hAnsi="David" w:hint="cs"/>
                <w:sz w:val="26"/>
                <w:rtl/>
              </w:rPr>
              <w:t>30 באפריל 2026</w:t>
            </w:r>
            <w:r w:rsidR="00741CA8" w:rsidRPr="00C47194">
              <w:rPr>
                <w:rFonts w:ascii="David" w:hAnsi="David"/>
                <w:sz w:val="26"/>
                <w:rtl/>
              </w:rPr>
              <w:t>)</w:t>
            </w:r>
            <w:r w:rsidRPr="00C47194">
              <w:rPr>
                <w:rFonts w:ascii="David" w:hAnsi="David" w:hint="cs"/>
                <w:sz w:val="26"/>
                <w:rtl/>
              </w:rPr>
              <w:t>;</w:t>
            </w:r>
          </w:p>
        </w:tc>
      </w:tr>
      <w:tr w:rsidR="001908BB" w:rsidRPr="00D04B16" w14:paraId="32499140" w14:textId="77777777" w:rsidTr="00FE12E5">
        <w:trPr>
          <w:cantSplit/>
          <w:trHeight w:val="60"/>
        </w:trPr>
        <w:tc>
          <w:tcPr>
            <w:tcW w:w="1583" w:type="dxa"/>
          </w:tcPr>
          <w:p w14:paraId="097D115D" w14:textId="77777777" w:rsidR="001908BB" w:rsidRPr="00D04B16" w:rsidRDefault="001908BB" w:rsidP="001908BB">
            <w:pPr>
              <w:pStyle w:val="TableSideHeading"/>
              <w:keepLines w:val="0"/>
              <w:rPr>
                <w:rtl/>
              </w:rPr>
            </w:pPr>
          </w:p>
        </w:tc>
        <w:tc>
          <w:tcPr>
            <w:tcW w:w="283" w:type="dxa"/>
          </w:tcPr>
          <w:p w14:paraId="1E0FCF4A" w14:textId="77777777" w:rsidR="001908BB" w:rsidRPr="00D04B16" w:rsidRDefault="001908BB" w:rsidP="001908BB">
            <w:pPr>
              <w:pStyle w:val="TableText"/>
            </w:pPr>
          </w:p>
        </w:tc>
        <w:tc>
          <w:tcPr>
            <w:tcW w:w="1131" w:type="dxa"/>
          </w:tcPr>
          <w:p w14:paraId="5F900DB1" w14:textId="77777777" w:rsidR="001908BB" w:rsidRPr="00D04B16" w:rsidRDefault="001908BB" w:rsidP="001908BB">
            <w:pPr>
              <w:pStyle w:val="TableText"/>
              <w:keepLines w:val="0"/>
            </w:pPr>
          </w:p>
        </w:tc>
        <w:tc>
          <w:tcPr>
            <w:tcW w:w="709" w:type="dxa"/>
          </w:tcPr>
          <w:p w14:paraId="346A27E7" w14:textId="77777777" w:rsidR="001908BB" w:rsidRPr="00D04B16" w:rsidRDefault="001908BB" w:rsidP="001908BB">
            <w:pPr>
              <w:pStyle w:val="TableText"/>
              <w:keepLines w:val="0"/>
              <w:rPr>
                <w:rtl/>
              </w:rPr>
            </w:pPr>
          </w:p>
        </w:tc>
        <w:tc>
          <w:tcPr>
            <w:tcW w:w="580" w:type="dxa"/>
            <w:gridSpan w:val="2"/>
          </w:tcPr>
          <w:p w14:paraId="67899245" w14:textId="77777777" w:rsidR="001908BB" w:rsidRPr="00D04B16" w:rsidRDefault="001908BB" w:rsidP="00EC2DB0">
            <w:pPr>
              <w:pStyle w:val="TableText"/>
              <w:numPr>
                <w:ilvl w:val="0"/>
                <w:numId w:val="7"/>
              </w:numPr>
              <w:tabs>
                <w:tab w:val="left" w:pos="624"/>
              </w:tabs>
              <w:jc w:val="both"/>
            </w:pPr>
          </w:p>
        </w:tc>
        <w:tc>
          <w:tcPr>
            <w:tcW w:w="5375" w:type="dxa"/>
            <w:gridSpan w:val="6"/>
          </w:tcPr>
          <w:p w14:paraId="23BD5A9A" w14:textId="7C633430" w:rsidR="001908BB" w:rsidRPr="00D04B16" w:rsidRDefault="001908BB" w:rsidP="001908BB">
            <w:pPr>
              <w:pStyle w:val="TableBlock"/>
              <w:keepLines w:val="0"/>
              <w:rPr>
                <w:sz w:val="26"/>
                <w:rtl/>
              </w:rPr>
            </w:pPr>
            <w:r w:rsidRPr="00D25F2F">
              <w:rPr>
                <w:rFonts w:ascii="David" w:hAnsi="David"/>
                <w:sz w:val="26"/>
                <w:rtl/>
              </w:rPr>
              <w:t xml:space="preserve">על אף האמור </w:t>
            </w:r>
            <w:r>
              <w:rPr>
                <w:rFonts w:ascii="David" w:hAnsi="David" w:hint="cs"/>
                <w:sz w:val="26"/>
                <w:rtl/>
              </w:rPr>
              <w:t xml:space="preserve">בפסקאות </w:t>
            </w:r>
            <w:r w:rsidRPr="00D25F2F">
              <w:rPr>
                <w:rFonts w:ascii="David" w:hAnsi="David"/>
                <w:sz w:val="26"/>
                <w:rtl/>
              </w:rPr>
              <w:t>(1א)</w:t>
            </w:r>
            <w:r>
              <w:rPr>
                <w:rFonts w:ascii="David" w:hAnsi="David" w:hint="cs"/>
                <w:sz w:val="26"/>
                <w:rtl/>
              </w:rPr>
              <w:t xml:space="preserve"> ו-(2)</w:t>
            </w:r>
            <w:r w:rsidRPr="00D25F2F">
              <w:rPr>
                <w:rFonts w:ascii="David" w:hAnsi="David"/>
                <w:sz w:val="26"/>
                <w:rtl/>
              </w:rPr>
              <w:t>, השר רשאי להתיר פיטורים של עובד או עובדת שהוצאו לחופשה ללא תשלום כאמור בפסקת משנה (א), אם שוכנע כי הפיטורים אינם בקשר ללידה, לתקופת הלידה וההורות או להיעדרות כאמור בפסקה (1א) או (2), ובלבד שחלפו 60 ימים מתום תקופת הלידה וההורות או ההיעדרות.";</w:t>
            </w:r>
          </w:p>
        </w:tc>
      </w:tr>
      <w:tr w:rsidR="001908BB" w:rsidRPr="00D04B16" w14:paraId="7D766B35" w14:textId="77777777" w:rsidTr="00FE12E5">
        <w:trPr>
          <w:gridAfter w:val="1"/>
          <w:wAfter w:w="25" w:type="dxa"/>
          <w:cantSplit/>
        </w:trPr>
        <w:tc>
          <w:tcPr>
            <w:tcW w:w="1583" w:type="dxa"/>
          </w:tcPr>
          <w:p w14:paraId="4B560CC8" w14:textId="77777777" w:rsidR="001908BB" w:rsidRPr="00D04B16" w:rsidRDefault="001908BB" w:rsidP="001908BB">
            <w:pPr>
              <w:pStyle w:val="TableSideHeading"/>
            </w:pPr>
          </w:p>
        </w:tc>
        <w:tc>
          <w:tcPr>
            <w:tcW w:w="283" w:type="dxa"/>
          </w:tcPr>
          <w:p w14:paraId="3F3527E7" w14:textId="77777777" w:rsidR="001908BB" w:rsidRPr="00D04B16" w:rsidRDefault="001908BB" w:rsidP="001908BB">
            <w:pPr>
              <w:pStyle w:val="TableText"/>
            </w:pPr>
          </w:p>
        </w:tc>
        <w:tc>
          <w:tcPr>
            <w:tcW w:w="7770" w:type="dxa"/>
            <w:gridSpan w:val="9"/>
          </w:tcPr>
          <w:p w14:paraId="75489B30" w14:textId="438DC43A" w:rsidR="001908BB" w:rsidRPr="00D04B16" w:rsidRDefault="001908BB" w:rsidP="00EC2DB0">
            <w:pPr>
              <w:pStyle w:val="TableBlock"/>
              <w:numPr>
                <w:ilvl w:val="0"/>
                <w:numId w:val="6"/>
              </w:numPr>
              <w:tabs>
                <w:tab w:val="left" w:pos="624"/>
              </w:tabs>
              <w:rPr>
                <w:rtl/>
              </w:rPr>
            </w:pPr>
            <w:r w:rsidRPr="00D04B16">
              <w:rPr>
                <w:rFonts w:hint="cs"/>
                <w:rtl/>
              </w:rPr>
              <w:t>בסעיף 9א, אחרי סעיף קטן (א</w:t>
            </w:r>
            <w:r w:rsidR="00074A96">
              <w:rPr>
                <w:rFonts w:hint="cs"/>
                <w:rtl/>
              </w:rPr>
              <w:t>1</w:t>
            </w:r>
            <w:r w:rsidRPr="00D04B16">
              <w:rPr>
                <w:rFonts w:hint="cs"/>
                <w:rtl/>
              </w:rPr>
              <w:t>) יבוא:</w:t>
            </w:r>
          </w:p>
        </w:tc>
      </w:tr>
      <w:tr w:rsidR="001908BB" w:rsidRPr="00D04B16" w14:paraId="45AFE52A" w14:textId="77777777" w:rsidTr="00FE12E5">
        <w:trPr>
          <w:gridAfter w:val="1"/>
          <w:wAfter w:w="25" w:type="dxa"/>
          <w:cantSplit/>
        </w:trPr>
        <w:tc>
          <w:tcPr>
            <w:tcW w:w="1583" w:type="dxa"/>
          </w:tcPr>
          <w:p w14:paraId="42FBCA50" w14:textId="77777777" w:rsidR="001908BB" w:rsidRPr="00D04B16" w:rsidRDefault="001908BB" w:rsidP="001908BB">
            <w:pPr>
              <w:pStyle w:val="TableSideHeading"/>
            </w:pPr>
          </w:p>
        </w:tc>
        <w:tc>
          <w:tcPr>
            <w:tcW w:w="283" w:type="dxa"/>
          </w:tcPr>
          <w:p w14:paraId="508D34DB" w14:textId="77777777" w:rsidR="001908BB" w:rsidRPr="00D04B16" w:rsidRDefault="001908BB" w:rsidP="001908BB">
            <w:pPr>
              <w:pStyle w:val="TableText"/>
            </w:pPr>
          </w:p>
        </w:tc>
        <w:tc>
          <w:tcPr>
            <w:tcW w:w="1131" w:type="dxa"/>
          </w:tcPr>
          <w:p w14:paraId="54318E93" w14:textId="77777777" w:rsidR="001908BB" w:rsidRPr="00D04B16" w:rsidRDefault="001908BB" w:rsidP="001908BB">
            <w:pPr>
              <w:pStyle w:val="TableText"/>
            </w:pPr>
          </w:p>
        </w:tc>
        <w:tc>
          <w:tcPr>
            <w:tcW w:w="6639" w:type="dxa"/>
            <w:gridSpan w:val="8"/>
          </w:tcPr>
          <w:p w14:paraId="0C376F27" w14:textId="108D2A54" w:rsidR="001908BB" w:rsidRPr="00D04B16" w:rsidRDefault="001908BB" w:rsidP="001908BB">
            <w:pPr>
              <w:pStyle w:val="TableBlock"/>
            </w:pPr>
            <w:r w:rsidRPr="00D04B16">
              <w:rPr>
                <w:rFonts w:hint="cs"/>
                <w:rtl/>
              </w:rPr>
              <w:t>"(א</w:t>
            </w:r>
            <w:r>
              <w:rPr>
                <w:rFonts w:hint="cs"/>
                <w:rtl/>
              </w:rPr>
              <w:t>2</w:t>
            </w:r>
            <w:r w:rsidRPr="00D04B16">
              <w:rPr>
                <w:rFonts w:hint="cs"/>
                <w:rtl/>
              </w:rPr>
              <w:t>) לעניין סעיף זה לא יראו היעדרות של עובד או עובדת בתקופה הקובעת כהגדרתה בסעיף 9(ג)(2</w:t>
            </w:r>
            <w:r>
              <w:rPr>
                <w:rFonts w:hint="cs"/>
                <w:rtl/>
              </w:rPr>
              <w:t>ג</w:t>
            </w:r>
            <w:r w:rsidRPr="00D04B16">
              <w:rPr>
                <w:rFonts w:hint="cs"/>
                <w:rtl/>
              </w:rPr>
              <w:t xml:space="preserve">)(א), </w:t>
            </w:r>
            <w:r w:rsidRPr="00D25F2F">
              <w:rPr>
                <w:rFonts w:ascii="David" w:hAnsi="David"/>
                <w:sz w:val="26"/>
                <w:rtl/>
              </w:rPr>
              <w:t>מחמת הוראה מההוראות כאמור בסעיף 2(א) או (ב)(1) לחוק הגנה על עובדים בשעת חירום, התשס"ו–2006‏</w:t>
            </w:r>
            <w:r w:rsidRPr="00952758">
              <w:rPr>
                <w:rStyle w:val="a8"/>
                <w:rFonts w:ascii="David" w:hAnsi="David"/>
                <w:sz w:val="26"/>
                <w:rtl/>
              </w:rPr>
              <w:footnoteReference w:id="4"/>
            </w:r>
            <w:r w:rsidRPr="00D25F2F">
              <w:rPr>
                <w:rFonts w:ascii="David" w:hAnsi="David"/>
                <w:sz w:val="26"/>
                <w:rtl/>
              </w:rPr>
              <w:t>, שבשלה חל איסור לפטר את העובד או העובדת בהתאם להוראות אותו סעיף, כפגיעה בהיקף המשרה או בהכנסה של העובד או העובדת</w:t>
            </w:r>
            <w:r w:rsidRPr="00D04B16">
              <w:rPr>
                <w:rtl/>
              </w:rPr>
              <w:t>."</w:t>
            </w:r>
            <w:r w:rsidRPr="00D04B16">
              <w:rPr>
                <w:rFonts w:hint="eastAsia"/>
                <w:rtl/>
              </w:rPr>
              <w:t xml:space="preserve"> </w:t>
            </w:r>
          </w:p>
        </w:tc>
      </w:tr>
      <w:tr w:rsidR="00B06C6E" w:rsidRPr="00D04B16" w14:paraId="684502D1" w14:textId="77777777" w:rsidTr="00FE12E5">
        <w:trPr>
          <w:gridAfter w:val="1"/>
          <w:wAfter w:w="25" w:type="dxa"/>
          <w:cantSplit/>
        </w:trPr>
        <w:tc>
          <w:tcPr>
            <w:tcW w:w="1583" w:type="dxa"/>
          </w:tcPr>
          <w:p w14:paraId="62A5A99C" w14:textId="6AFB6664" w:rsidR="00B06C6E" w:rsidRDefault="00B06C6E" w:rsidP="00B06C6E">
            <w:pPr>
              <w:pStyle w:val="TableSideHeading"/>
              <w:jc w:val="both"/>
              <w:rPr>
                <w:rtl/>
              </w:rPr>
            </w:pPr>
            <w:bookmarkStart w:id="34" w:name="_Toc224817820"/>
            <w:bookmarkStart w:id="35" w:name="_Toc224817850"/>
            <w:r>
              <w:rPr>
                <w:rFonts w:hint="cs"/>
                <w:rtl/>
              </w:rPr>
              <w:t>שמירת דינים</w:t>
            </w:r>
            <w:bookmarkEnd w:id="34"/>
            <w:bookmarkEnd w:id="35"/>
          </w:p>
        </w:tc>
        <w:tc>
          <w:tcPr>
            <w:tcW w:w="283" w:type="dxa"/>
          </w:tcPr>
          <w:p w14:paraId="0868B611" w14:textId="77777777" w:rsidR="00B06C6E" w:rsidRPr="00D04B16" w:rsidRDefault="00B06C6E" w:rsidP="00EC2DB0">
            <w:pPr>
              <w:pStyle w:val="TableText"/>
              <w:numPr>
                <w:ilvl w:val="0"/>
                <w:numId w:val="13"/>
              </w:numPr>
            </w:pPr>
          </w:p>
        </w:tc>
        <w:tc>
          <w:tcPr>
            <w:tcW w:w="7770" w:type="dxa"/>
            <w:gridSpan w:val="9"/>
          </w:tcPr>
          <w:p w14:paraId="341D6F56" w14:textId="2B68B221" w:rsidR="00B06C6E" w:rsidRDefault="00B06C6E" w:rsidP="00B06C6E">
            <w:pPr>
              <w:pStyle w:val="TableBlock"/>
              <w:tabs>
                <w:tab w:val="clear" w:pos="624"/>
              </w:tabs>
              <w:rPr>
                <w:rtl/>
              </w:rPr>
            </w:pPr>
            <w:r w:rsidRPr="001D6506">
              <w:rPr>
                <w:rtl/>
              </w:rPr>
              <w:t xml:space="preserve">אין בהוראות </w:t>
            </w:r>
            <w:r w:rsidRPr="0039028E">
              <w:rPr>
                <w:rtl/>
              </w:rPr>
              <w:t>סעי</w:t>
            </w:r>
            <w:r w:rsidRPr="0039028E">
              <w:rPr>
                <w:rFonts w:hint="cs"/>
                <w:rtl/>
              </w:rPr>
              <w:t xml:space="preserve">ף </w:t>
            </w:r>
            <w:r w:rsidRPr="0039028E">
              <w:rPr>
                <w:rtl/>
              </w:rPr>
              <w:t>6 לחוק</w:t>
            </w:r>
            <w:r w:rsidRPr="001D6506">
              <w:rPr>
                <w:rtl/>
              </w:rPr>
              <w:t xml:space="preserve"> זה כדי לגרוע מאיסור על פגיעה בהיקף משרה או בהכנסה לפי פרק שביעי לחוק החיילים המשוחררים (החזרה לעבודה), התש"ט-1949</w:t>
            </w:r>
            <w:r>
              <w:rPr>
                <w:rStyle w:val="a8"/>
                <w:rtl/>
              </w:rPr>
              <w:footnoteReference w:id="5"/>
            </w:r>
            <w:r>
              <w:rPr>
                <w:rFonts w:hint="cs"/>
                <w:rtl/>
              </w:rPr>
              <w:t>,</w:t>
            </w:r>
            <w:r w:rsidRPr="001D6506">
              <w:rPr>
                <w:rtl/>
              </w:rPr>
              <w:t xml:space="preserve"> או לפי סימן א' לפרק שביעי לחוק משפחות חיילים שנספו במערכה (תגמולים ושיקום), התש"י–1950</w:t>
            </w:r>
            <w:r>
              <w:rPr>
                <w:rStyle w:val="a8"/>
                <w:rtl/>
              </w:rPr>
              <w:footnoteReference w:id="6"/>
            </w:r>
            <w:r>
              <w:rPr>
                <w:rFonts w:hint="cs"/>
                <w:rtl/>
              </w:rPr>
              <w:t>.</w:t>
            </w:r>
          </w:p>
        </w:tc>
      </w:tr>
    </w:tbl>
    <w:p w14:paraId="251EB8E3" w14:textId="5A1C8158" w:rsidR="004E4189" w:rsidRDefault="004E4189" w:rsidP="004E4189">
      <w:pPr>
        <w:rPr>
          <w:rtl/>
        </w:rPr>
      </w:pPr>
    </w:p>
    <w:p w14:paraId="129AF127" w14:textId="5D221306" w:rsidR="009F7AF1" w:rsidRDefault="009F7AF1" w:rsidP="004E4189">
      <w:pPr>
        <w:rPr>
          <w:rtl/>
        </w:rPr>
      </w:pPr>
    </w:p>
    <w:p w14:paraId="7F40AD4F" w14:textId="6F45B19F" w:rsidR="009F7AF1" w:rsidRDefault="009F7AF1" w:rsidP="004E4189">
      <w:pPr>
        <w:rPr>
          <w:rtl/>
        </w:rPr>
      </w:pPr>
    </w:p>
    <w:p w14:paraId="5FBC1FC3" w14:textId="4F1B778C" w:rsidR="009F7AF1" w:rsidRDefault="009F7AF1" w:rsidP="004E4189">
      <w:pPr>
        <w:rPr>
          <w:rtl/>
        </w:rPr>
      </w:pPr>
    </w:p>
    <w:p w14:paraId="6BC60B6D" w14:textId="27B13F13" w:rsidR="009F7AF1" w:rsidRDefault="009F7AF1" w:rsidP="004E4189">
      <w:pPr>
        <w:rPr>
          <w:rtl/>
        </w:rPr>
      </w:pPr>
    </w:p>
    <w:p w14:paraId="55CD73B9" w14:textId="45DD6669" w:rsidR="009F7AF1" w:rsidRDefault="009F7AF1" w:rsidP="004E4189">
      <w:pPr>
        <w:rPr>
          <w:rtl/>
        </w:rPr>
      </w:pPr>
    </w:p>
    <w:p w14:paraId="59AE9AB1" w14:textId="1A715C42" w:rsidR="009F7AF1" w:rsidRDefault="009F7AF1" w:rsidP="004E4189">
      <w:pPr>
        <w:rPr>
          <w:rtl/>
        </w:rPr>
      </w:pPr>
    </w:p>
    <w:p w14:paraId="09ED0F4B" w14:textId="66707661" w:rsidR="009F7AF1" w:rsidRDefault="009F7AF1" w:rsidP="004E4189">
      <w:pPr>
        <w:rPr>
          <w:rtl/>
        </w:rPr>
      </w:pPr>
    </w:p>
    <w:p w14:paraId="037A41AE" w14:textId="04366CE8" w:rsidR="009F7AF1" w:rsidRDefault="009F7AF1" w:rsidP="004E4189">
      <w:pPr>
        <w:rPr>
          <w:rtl/>
        </w:rPr>
      </w:pPr>
    </w:p>
    <w:p w14:paraId="36FCB8B4" w14:textId="1846A29E" w:rsidR="009F7AF1" w:rsidRDefault="009F7AF1" w:rsidP="004E4189">
      <w:pPr>
        <w:rPr>
          <w:rtl/>
        </w:rPr>
      </w:pPr>
    </w:p>
    <w:p w14:paraId="68D936FA" w14:textId="4FFBCF64" w:rsidR="009F7AF1" w:rsidRDefault="009F7AF1" w:rsidP="004E4189">
      <w:pPr>
        <w:rPr>
          <w:rtl/>
        </w:rPr>
      </w:pPr>
    </w:p>
    <w:p w14:paraId="0A501370" w14:textId="3D065693" w:rsidR="00E61350" w:rsidRDefault="00E61350" w:rsidP="004E4189">
      <w:pPr>
        <w:rPr>
          <w:rtl/>
        </w:rPr>
      </w:pPr>
    </w:p>
    <w:p w14:paraId="373429A8" w14:textId="672EED38" w:rsidR="00E61350" w:rsidRDefault="00E61350" w:rsidP="004E4189">
      <w:pPr>
        <w:rPr>
          <w:rtl/>
        </w:rPr>
      </w:pPr>
    </w:p>
    <w:p w14:paraId="0E4F595C" w14:textId="1523D400" w:rsidR="00E61350" w:rsidRDefault="00E61350" w:rsidP="004E4189">
      <w:pPr>
        <w:rPr>
          <w:rtl/>
        </w:rPr>
      </w:pPr>
    </w:p>
    <w:p w14:paraId="1A88B29C" w14:textId="0938BD67" w:rsidR="00E61350" w:rsidRDefault="00E61350" w:rsidP="004E4189">
      <w:pPr>
        <w:rPr>
          <w:rtl/>
        </w:rPr>
      </w:pPr>
    </w:p>
    <w:p w14:paraId="60C6CAC5" w14:textId="455DC3CE" w:rsidR="00E61350" w:rsidRDefault="00E61350" w:rsidP="004E4189">
      <w:pPr>
        <w:rPr>
          <w:rtl/>
        </w:rPr>
      </w:pPr>
    </w:p>
    <w:p w14:paraId="6CE6BC56" w14:textId="77777777" w:rsidR="00FA23AD" w:rsidRDefault="00FA23AD" w:rsidP="003973D4">
      <w:pPr>
        <w:widowControl/>
        <w:spacing w:line="240" w:lineRule="auto"/>
        <w:ind w:left="0"/>
        <w:contextualSpacing w:val="0"/>
        <w:jc w:val="center"/>
        <w:rPr>
          <w:rFonts w:eastAsia="Times New Roman"/>
          <w:sz w:val="32"/>
          <w:szCs w:val="32"/>
          <w:rtl/>
        </w:rPr>
      </w:pPr>
    </w:p>
    <w:p w14:paraId="62A0E222" w14:textId="5D7BAE9E" w:rsidR="004E4189" w:rsidRPr="003973D4" w:rsidRDefault="004E4189" w:rsidP="003973D4">
      <w:pPr>
        <w:widowControl/>
        <w:spacing w:line="240" w:lineRule="auto"/>
        <w:ind w:left="0"/>
        <w:contextualSpacing w:val="0"/>
        <w:jc w:val="center"/>
        <w:rPr>
          <w:rFonts w:eastAsia="Times New Roman"/>
          <w:sz w:val="32"/>
          <w:szCs w:val="32"/>
          <w:rtl/>
        </w:rPr>
      </w:pPr>
      <w:r w:rsidRPr="003973D4">
        <w:rPr>
          <w:rFonts w:eastAsia="Times New Roman"/>
          <w:sz w:val="32"/>
          <w:szCs w:val="32"/>
          <w:rtl/>
        </w:rPr>
        <w:t>דברי הסבר</w:t>
      </w:r>
    </w:p>
    <w:p w14:paraId="511010E9" w14:textId="77777777" w:rsidR="004E4189" w:rsidRDefault="004E4189" w:rsidP="004E4189">
      <w:pPr>
        <w:rPr>
          <w:rtl/>
        </w:rPr>
      </w:pPr>
    </w:p>
    <w:p w14:paraId="12C34E58" w14:textId="77777777" w:rsidR="00904859" w:rsidRDefault="004E4189" w:rsidP="00904859">
      <w:pPr>
        <w:rPr>
          <w:rtl/>
        </w:rPr>
      </w:pPr>
      <w:r>
        <w:rPr>
          <w:rFonts w:hint="cs"/>
          <w:b/>
          <w:bCs/>
          <w:rtl/>
        </w:rPr>
        <w:t>כללי</w:t>
      </w:r>
      <w:r>
        <w:rPr>
          <w:b/>
          <w:bCs/>
          <w:rtl/>
        </w:rPr>
        <w:tab/>
      </w:r>
      <w:r w:rsidR="00904859">
        <w:rPr>
          <w:rtl/>
        </w:rPr>
        <w:t>ביום</w:t>
      </w:r>
      <w:r w:rsidR="00904859">
        <w:rPr>
          <w:rFonts w:hint="cs"/>
          <w:rtl/>
        </w:rPr>
        <w:t xml:space="preserve"> י"א באדר </w:t>
      </w:r>
      <w:proofErr w:type="spellStart"/>
      <w:r w:rsidR="00904859">
        <w:rPr>
          <w:rFonts w:hint="cs"/>
          <w:rtl/>
        </w:rPr>
        <w:t>התשפ</w:t>
      </w:r>
      <w:proofErr w:type="spellEnd"/>
      <w:r w:rsidR="00904859">
        <w:rPr>
          <w:rFonts w:hint="cs"/>
          <w:rtl/>
        </w:rPr>
        <w:t>"ו</w:t>
      </w:r>
      <w:r w:rsidR="00904859">
        <w:rPr>
          <w:rtl/>
        </w:rPr>
        <w:t xml:space="preserve"> </w:t>
      </w:r>
      <w:r w:rsidR="00904859">
        <w:rPr>
          <w:rFonts w:hint="cs"/>
          <w:rtl/>
        </w:rPr>
        <w:t>(28 בפברואר 2026)</w:t>
      </w:r>
      <w:r w:rsidR="00904859">
        <w:rPr>
          <w:rtl/>
        </w:rPr>
        <w:t xml:space="preserve">, </w:t>
      </w:r>
      <w:r w:rsidR="00904859">
        <w:rPr>
          <w:rFonts w:hint="cs"/>
          <w:rtl/>
        </w:rPr>
        <w:t>החלה המערכה מול</w:t>
      </w:r>
      <w:r w:rsidR="00904859">
        <w:rPr>
          <w:rtl/>
        </w:rPr>
        <w:t xml:space="preserve"> איראן, מבצע "</w:t>
      </w:r>
      <w:r w:rsidR="00904859">
        <w:rPr>
          <w:rFonts w:hint="cs"/>
          <w:rtl/>
        </w:rPr>
        <w:t>שאגת הארי</w:t>
      </w:r>
      <w:r w:rsidR="00904859">
        <w:rPr>
          <w:rtl/>
        </w:rPr>
        <w:t>"</w:t>
      </w:r>
      <w:r w:rsidR="00904859">
        <w:rPr>
          <w:rFonts w:hint="cs"/>
          <w:rtl/>
        </w:rPr>
        <w:t xml:space="preserve">. </w:t>
      </w:r>
      <w:r w:rsidR="00904859">
        <w:rPr>
          <w:rtl/>
        </w:rPr>
        <w:t>בעקבות היציאה למבצע, מדינת ישראל התמודדה עם ירי ט</w:t>
      </w:r>
      <w:r w:rsidR="00904859">
        <w:rPr>
          <w:rFonts w:hint="cs"/>
          <w:rtl/>
        </w:rPr>
        <w:t>ילי קרקע-קרקע</w:t>
      </w:r>
      <w:r w:rsidR="00904859">
        <w:rPr>
          <w:rtl/>
        </w:rPr>
        <w:t xml:space="preserve"> וכ</w:t>
      </w:r>
      <w:r w:rsidR="00904859">
        <w:rPr>
          <w:rFonts w:hint="cs"/>
          <w:rtl/>
        </w:rPr>
        <w:t>לי טיס בלתי מאוישים</w:t>
      </w:r>
      <w:r w:rsidR="00904859">
        <w:rPr>
          <w:rtl/>
        </w:rPr>
        <w:t xml:space="preserve"> בהיקפים גדולים וחריגים מאיראן ושלוחותיה אל עבר שטחי המדינה.</w:t>
      </w:r>
    </w:p>
    <w:p w14:paraId="69A14EF2" w14:textId="31D90BA4" w:rsidR="00904859" w:rsidRDefault="00904859" w:rsidP="00904859">
      <w:pPr>
        <w:rPr>
          <w:rtl/>
        </w:rPr>
      </w:pPr>
      <w:r w:rsidRPr="0080376A">
        <w:rPr>
          <w:rtl/>
        </w:rPr>
        <w:t>בשל האמור, הכריז שר הביטחון על מצב מיוחד בעורף בכל שטח המדינה, שחל החל מיום</w:t>
      </w:r>
      <w:r w:rsidRPr="0080376A">
        <w:rPr>
          <w:rFonts w:hint="cs"/>
          <w:rtl/>
        </w:rPr>
        <w:t xml:space="preserve"> י"א באדר  </w:t>
      </w:r>
      <w:proofErr w:type="spellStart"/>
      <w:r w:rsidRPr="0080376A">
        <w:rPr>
          <w:rFonts w:hint="cs"/>
          <w:rtl/>
        </w:rPr>
        <w:t>התשפ</w:t>
      </w:r>
      <w:proofErr w:type="spellEnd"/>
      <w:r w:rsidRPr="0080376A">
        <w:rPr>
          <w:rFonts w:hint="cs"/>
          <w:rtl/>
        </w:rPr>
        <w:t>"ו</w:t>
      </w:r>
      <w:r w:rsidRPr="0080376A">
        <w:rPr>
          <w:rtl/>
        </w:rPr>
        <w:t xml:space="preserve"> </w:t>
      </w:r>
      <w:r w:rsidRPr="0080376A">
        <w:rPr>
          <w:rFonts w:hint="cs"/>
          <w:rtl/>
        </w:rPr>
        <w:t>(28 בפברואר 2026)</w:t>
      </w:r>
      <w:r w:rsidRPr="0080376A">
        <w:rPr>
          <w:rtl/>
        </w:rPr>
        <w:t xml:space="preserve"> בשעה </w:t>
      </w:r>
      <w:r w:rsidRPr="0080376A">
        <w:rPr>
          <w:rFonts w:hint="cs"/>
          <w:rtl/>
        </w:rPr>
        <w:t xml:space="preserve">08:10 </w:t>
      </w:r>
      <w:r w:rsidRPr="0080376A">
        <w:rPr>
          <w:rtl/>
        </w:rPr>
        <w:t xml:space="preserve">למשך 48 שעות, מכוח סמכותו לפי סעיף 9ג(ב)(1) לחוק ההתגוננות האזרחית, התשי"א-1951. </w:t>
      </w:r>
      <w:r w:rsidR="00CD06F2" w:rsidRPr="0080376A">
        <w:rPr>
          <w:rtl/>
        </w:rPr>
        <w:t>ביום</w:t>
      </w:r>
      <w:r w:rsidR="00CD06F2" w:rsidRPr="0080376A">
        <w:rPr>
          <w:rFonts w:hint="cs"/>
          <w:rtl/>
        </w:rPr>
        <w:t xml:space="preserve"> י"ב באדר </w:t>
      </w:r>
      <w:proofErr w:type="spellStart"/>
      <w:r w:rsidR="00CD06F2" w:rsidRPr="0080376A">
        <w:rPr>
          <w:rFonts w:hint="cs"/>
          <w:rtl/>
        </w:rPr>
        <w:t>התשפ</w:t>
      </w:r>
      <w:proofErr w:type="spellEnd"/>
      <w:r w:rsidR="00CD06F2" w:rsidRPr="0080376A">
        <w:rPr>
          <w:rFonts w:hint="cs"/>
          <w:rtl/>
        </w:rPr>
        <w:t>"ו</w:t>
      </w:r>
      <w:r w:rsidR="00CD06F2" w:rsidRPr="0080376A">
        <w:rPr>
          <w:rtl/>
        </w:rPr>
        <w:t xml:space="preserve"> </w:t>
      </w:r>
      <w:r w:rsidR="00CD06F2" w:rsidRPr="0080376A">
        <w:rPr>
          <w:rFonts w:hint="cs"/>
          <w:rtl/>
        </w:rPr>
        <w:t>(1 במרץ 2026)</w:t>
      </w:r>
      <w:r w:rsidR="00CD06F2" w:rsidRPr="0080376A">
        <w:rPr>
          <w:rtl/>
        </w:rPr>
        <w:t xml:space="preserve"> הוארך המצב המיוחד בעורף עד ליום</w:t>
      </w:r>
      <w:r w:rsidR="00CD06F2" w:rsidRPr="0080376A">
        <w:rPr>
          <w:rFonts w:hint="cs"/>
          <w:rtl/>
        </w:rPr>
        <w:t xml:space="preserve"> </w:t>
      </w:r>
      <w:r w:rsidR="00CD06F2" w:rsidRPr="00CD06F2">
        <w:rPr>
          <w:rtl/>
        </w:rPr>
        <w:t xml:space="preserve">כ"ג באדר </w:t>
      </w:r>
      <w:proofErr w:type="spellStart"/>
      <w:r w:rsidR="00CD06F2" w:rsidRPr="00CD06F2">
        <w:rPr>
          <w:rtl/>
        </w:rPr>
        <w:t>התשפ</w:t>
      </w:r>
      <w:proofErr w:type="spellEnd"/>
      <w:r w:rsidR="00CD06F2" w:rsidRPr="00CD06F2">
        <w:rPr>
          <w:rtl/>
        </w:rPr>
        <w:t>"ו (12 במרץ 2026)</w:t>
      </w:r>
      <w:r w:rsidR="00CD06F2">
        <w:rPr>
          <w:rFonts w:hint="cs"/>
          <w:rtl/>
        </w:rPr>
        <w:t xml:space="preserve"> ובהמשך הוארך עד ליום ח' בניסן </w:t>
      </w:r>
      <w:proofErr w:type="spellStart"/>
      <w:r w:rsidR="00CD06F2">
        <w:rPr>
          <w:rFonts w:hint="cs"/>
          <w:rtl/>
        </w:rPr>
        <w:t>הת</w:t>
      </w:r>
      <w:r w:rsidR="00CD06F2" w:rsidRPr="0080376A">
        <w:rPr>
          <w:rFonts w:hint="cs"/>
          <w:rtl/>
        </w:rPr>
        <w:t>שפ</w:t>
      </w:r>
      <w:proofErr w:type="spellEnd"/>
      <w:r w:rsidR="00CD06F2" w:rsidRPr="0080376A">
        <w:rPr>
          <w:rFonts w:hint="cs"/>
          <w:rtl/>
        </w:rPr>
        <w:t>"ו (</w:t>
      </w:r>
      <w:r w:rsidR="00CD06F2">
        <w:rPr>
          <w:rFonts w:hint="cs"/>
          <w:rtl/>
        </w:rPr>
        <w:t>26</w:t>
      </w:r>
      <w:r w:rsidR="00CD06F2" w:rsidRPr="0080376A">
        <w:rPr>
          <w:rFonts w:hint="cs"/>
          <w:rtl/>
        </w:rPr>
        <w:t xml:space="preserve"> במרץ 2026)</w:t>
      </w:r>
      <w:r w:rsidR="00CD06F2" w:rsidRPr="0080376A">
        <w:rPr>
          <w:rtl/>
        </w:rPr>
        <w:t>.</w:t>
      </w:r>
      <w:r w:rsidRPr="0080376A">
        <w:rPr>
          <w:rtl/>
        </w:rPr>
        <w:t xml:space="preserve"> בהתאם לסעיף 9ג(א)(6) לאותו חוק, החליטה הממשלה באישור ועדת החוץ והבטחון של הכנסת, שניתן ביום </w:t>
      </w:r>
      <w:r w:rsidRPr="0080376A">
        <w:rPr>
          <w:rFonts w:hint="cs"/>
          <w:rtl/>
        </w:rPr>
        <w:t xml:space="preserve">י"ג </w:t>
      </w:r>
      <w:r w:rsidRPr="0080376A">
        <w:rPr>
          <w:rtl/>
        </w:rPr>
        <w:t xml:space="preserve"> ב</w:t>
      </w:r>
      <w:r w:rsidRPr="0080376A">
        <w:rPr>
          <w:rFonts w:hint="cs"/>
          <w:rtl/>
        </w:rPr>
        <w:t>אדר</w:t>
      </w:r>
      <w:r w:rsidRPr="0080376A">
        <w:rPr>
          <w:rtl/>
        </w:rPr>
        <w:t xml:space="preserve"> </w:t>
      </w:r>
      <w:proofErr w:type="spellStart"/>
      <w:r w:rsidRPr="0080376A">
        <w:rPr>
          <w:rtl/>
        </w:rPr>
        <w:t>התשפ</w:t>
      </w:r>
      <w:proofErr w:type="spellEnd"/>
      <w:r w:rsidRPr="0080376A">
        <w:rPr>
          <w:rtl/>
        </w:rPr>
        <w:t>"</w:t>
      </w:r>
      <w:r w:rsidRPr="0080376A">
        <w:rPr>
          <w:rFonts w:hint="cs"/>
          <w:rtl/>
        </w:rPr>
        <w:t>ו</w:t>
      </w:r>
      <w:r w:rsidRPr="0080376A">
        <w:rPr>
          <w:rtl/>
        </w:rPr>
        <w:t xml:space="preserve"> </w:t>
      </w:r>
      <w:r w:rsidRPr="0080376A">
        <w:rPr>
          <w:rFonts w:hint="cs"/>
          <w:rtl/>
        </w:rPr>
        <w:t>(2 במרץ 2026</w:t>
      </w:r>
      <w:r w:rsidRPr="0080376A">
        <w:rPr>
          <w:rtl/>
        </w:rPr>
        <w:t>), לאשר את ההכרזה בשטחה של כל מדינת ישראל.</w:t>
      </w:r>
    </w:p>
    <w:p w14:paraId="35EEDDB1" w14:textId="214F519F" w:rsidR="00904859" w:rsidRDefault="005B785F" w:rsidP="00904859">
      <w:pPr>
        <w:rPr>
          <w:rtl/>
        </w:rPr>
      </w:pPr>
      <w:r>
        <w:rPr>
          <w:rFonts w:hint="cs"/>
          <w:rtl/>
        </w:rPr>
        <w:t>ב</w:t>
      </w:r>
      <w:r w:rsidR="00904859" w:rsidRPr="0080376A">
        <w:rPr>
          <w:rtl/>
        </w:rPr>
        <w:t xml:space="preserve">המשך לכך, ונוכח האיומים שנוצרו בעקבות היציאה למבצע, קבע פיקוד העורף הנחיות מחמירות בשטחי מדינת ישראל כולה, אשר כללו איסור על התקהלויות בשטח פתוח ומתן שירותים, איסור פעילות במקומות עבודה למעט משק חיוני ואיסור על פעילויות חינוכיות. </w:t>
      </w:r>
      <w:r w:rsidR="00904859">
        <w:rPr>
          <w:rFonts w:hint="cs"/>
          <w:rtl/>
        </w:rPr>
        <w:t xml:space="preserve">בהמשך, עדכן פיקוד העורף את הנחיותיו אך הותיר מגבלות משמעותיות על התקהלויות ומתן שירותים וכן על מסגרות חינוך. </w:t>
      </w:r>
    </w:p>
    <w:p w14:paraId="5436A4A8" w14:textId="24B6E19E" w:rsidR="00496726" w:rsidRDefault="004E4189" w:rsidP="00904859">
      <w:pPr>
        <w:rPr>
          <w:rtl/>
        </w:rPr>
      </w:pPr>
      <w:r>
        <w:rPr>
          <w:rtl/>
        </w:rPr>
        <w:t>הממשלה פועלת במגוון דרכים כדי לסייע לתושבים המושפעים מן הלחימה באופן ישיר ועקיף, ובין השאר, פועלת כדי לתת פיצוי לעובדים שנעדרו מעבודתם בשל המצב המיוחד.</w:t>
      </w:r>
    </w:p>
    <w:p w14:paraId="21574697" w14:textId="182A4014" w:rsidR="00496726" w:rsidRDefault="004E4189" w:rsidP="008008BE">
      <w:pPr>
        <w:rPr>
          <w:b/>
          <w:bCs/>
          <w:rtl/>
        </w:rPr>
      </w:pPr>
      <w:r>
        <w:rPr>
          <w:rtl/>
        </w:rPr>
        <w:t>על רקע זה, ובדומה למתווה שניתן בתחילת מלחמת חרבות ברזל</w:t>
      </w:r>
      <w:r w:rsidR="00496726">
        <w:rPr>
          <w:rFonts w:hint="cs"/>
          <w:rtl/>
        </w:rPr>
        <w:t xml:space="preserve"> ובמבצע "עם כלביא"</w:t>
      </w:r>
      <w:r>
        <w:rPr>
          <w:rtl/>
        </w:rPr>
        <w:t xml:space="preserve">, מוצע לתקן את </w:t>
      </w:r>
      <w:r w:rsidR="00496726" w:rsidRPr="00496726">
        <w:rPr>
          <w:rtl/>
        </w:rPr>
        <w:t xml:space="preserve">חוק הביטוח הלאומי [נוסח משולב], התשנ"ה-1995 (להלן - חוק הביטוח הלאומי), כך </w:t>
      </w:r>
      <w:r w:rsidR="0072203D">
        <w:rPr>
          <w:rFonts w:hint="cs"/>
          <w:rtl/>
        </w:rPr>
        <w:t>ש</w:t>
      </w:r>
      <w:r w:rsidR="00496726" w:rsidRPr="00496726">
        <w:rPr>
          <w:rtl/>
        </w:rPr>
        <w:t xml:space="preserve">יקבעו התאמות, לשם מתן הקלות והטבות בעניין זכאות לדמי אבטלה לעובדים שהוצאו לחופשה ללא תשלום בעקבות מבצע "שאגת הארי". כן, מוצע לערוך תיקונים נוספים בחוק עבודת נשים, </w:t>
      </w:r>
      <w:proofErr w:type="spellStart"/>
      <w:r w:rsidR="00496726" w:rsidRPr="00496726">
        <w:rPr>
          <w:rtl/>
        </w:rPr>
        <w:t>התשי</w:t>
      </w:r>
      <w:proofErr w:type="spellEnd"/>
      <w:r w:rsidR="00496726" w:rsidRPr="00496726">
        <w:rPr>
          <w:rtl/>
        </w:rPr>
        <w:t>"ד–1954 (להלן - חוק עבודת נשים), ובחוק מענק מיוחד לבני 67 ומעלה (הוראת שעה – מקרים מיוחדים), התש"ף-2020.</w:t>
      </w:r>
    </w:p>
    <w:p w14:paraId="0BAC47C7" w14:textId="77777777" w:rsidR="00496726" w:rsidRDefault="00496726" w:rsidP="004E4189">
      <w:pPr>
        <w:rPr>
          <w:b/>
          <w:bCs/>
          <w:rtl/>
        </w:rPr>
      </w:pPr>
    </w:p>
    <w:p w14:paraId="1E515482" w14:textId="2C3BC2C8" w:rsidR="004E4189" w:rsidRPr="00EF6F82" w:rsidRDefault="004E4189" w:rsidP="004E4189">
      <w:pPr>
        <w:rPr>
          <w:b/>
          <w:bCs/>
          <w:rtl/>
        </w:rPr>
      </w:pPr>
      <w:r w:rsidRPr="00EF6F82">
        <w:rPr>
          <w:rFonts w:hint="eastAsia"/>
          <w:b/>
          <w:bCs/>
          <w:rtl/>
        </w:rPr>
        <w:t>סעיף</w:t>
      </w:r>
      <w:r w:rsidRPr="00EF6F82">
        <w:rPr>
          <w:rFonts w:hint="cs"/>
          <w:b/>
          <w:bCs/>
          <w:rtl/>
        </w:rPr>
        <w:t xml:space="preserve"> </w:t>
      </w:r>
      <w:r w:rsidRPr="00EF6F82">
        <w:rPr>
          <w:b/>
          <w:bCs/>
          <w:rtl/>
        </w:rPr>
        <w:t>1</w:t>
      </w:r>
    </w:p>
    <w:p w14:paraId="0498E853" w14:textId="7E29DC07" w:rsidR="00EC19BA" w:rsidRDefault="004E4189" w:rsidP="00EC19BA">
      <w:pPr>
        <w:rPr>
          <w:rtl/>
        </w:rPr>
      </w:pPr>
      <w:r w:rsidRPr="001F79FC">
        <w:rPr>
          <w:rFonts w:hint="eastAsia"/>
          <w:b/>
          <w:bCs/>
          <w:rtl/>
        </w:rPr>
        <w:t>כללי</w:t>
      </w:r>
      <w:r w:rsidRPr="001F79FC">
        <w:rPr>
          <w:b/>
          <w:bCs/>
          <w:rtl/>
        </w:rPr>
        <w:tab/>
      </w:r>
      <w:r w:rsidR="00EC19BA">
        <w:rPr>
          <w:rtl/>
        </w:rPr>
        <w:t>בשבוע הראשון של מבצע "שאגת הארי" הוטלו מגבלות מחמירות על כלל המשק שאפשרו רק למשק חיוני ולעובדים המסוגלים לעבוד מרחוק להמשיך בעבודה רציפה. בשבוע השני של המבצע הוגמשו</w:t>
      </w:r>
      <w:r w:rsidR="004F422A">
        <w:rPr>
          <w:rFonts w:hint="cs"/>
          <w:rtl/>
        </w:rPr>
        <w:t xml:space="preserve"> במקצת</w:t>
      </w:r>
      <w:r w:rsidR="00EC19BA">
        <w:rPr>
          <w:rtl/>
        </w:rPr>
        <w:t xml:space="preserve"> </w:t>
      </w:r>
      <w:r w:rsidR="004F422A">
        <w:rPr>
          <w:rFonts w:hint="cs"/>
          <w:rtl/>
        </w:rPr>
        <w:t>המגבלות</w:t>
      </w:r>
      <w:r w:rsidR="00EC19BA">
        <w:rPr>
          <w:rtl/>
        </w:rPr>
        <w:t xml:space="preserve">, עם זאת לא כל המשק חזר לפעילות מלאה. כדי לתת מענה סוציאלי למבוטחים שהופסקה עבודתם בשל מגבלות פיקוד העורף, מוצע לתקן את חוק הביטוח הלאומי [נוסח משולב], התשנ"ה–1995 (להלן – חוק הביטוח הלאומי), </w:t>
      </w:r>
      <w:r w:rsidR="004F422A">
        <w:rPr>
          <w:rFonts w:hint="cs"/>
          <w:rtl/>
        </w:rPr>
        <w:t>כך שיקבעו</w:t>
      </w:r>
      <w:r w:rsidR="00EC19BA">
        <w:rPr>
          <w:rtl/>
        </w:rPr>
        <w:t xml:space="preserve"> הקלות והטבות </w:t>
      </w:r>
      <w:r w:rsidR="004F422A">
        <w:rPr>
          <w:rFonts w:hint="cs"/>
          <w:rtl/>
        </w:rPr>
        <w:t>ל</w:t>
      </w:r>
      <w:r w:rsidR="00EC19BA">
        <w:rPr>
          <w:rtl/>
        </w:rPr>
        <w:t xml:space="preserve">עניין קבלת דמי אבטלה לעובדים שהעסקתם הופסקה בעקבות המלחמה ופוטרו או הוצאו לחופשה ללא תשלום בתקופת המבצע כאמור. לאור כך, מוצע לקבוע הוראת שעה בחוק הביטוח </w:t>
      </w:r>
      <w:r w:rsidR="00EC19BA" w:rsidRPr="00741CA8">
        <w:rPr>
          <w:rtl/>
        </w:rPr>
        <w:t xml:space="preserve">הלאומי שתעמוד בתוקפה מיום פרסומו של חוק זה עד יום כ"א באדר </w:t>
      </w:r>
      <w:proofErr w:type="spellStart"/>
      <w:r w:rsidR="00EC19BA" w:rsidRPr="00741CA8">
        <w:rPr>
          <w:rtl/>
        </w:rPr>
        <w:t>התשפ</w:t>
      </w:r>
      <w:proofErr w:type="spellEnd"/>
      <w:r w:rsidR="00EC19BA" w:rsidRPr="00741CA8">
        <w:rPr>
          <w:rtl/>
        </w:rPr>
        <w:t xml:space="preserve">"ז (28 בפברואר 2027), ואשר תקבע הוראות מיוחדות לעניין ביטוח אבטלה לעובדים שהופסקה עבודתם שיחולו באופן רטרואקטיבי </w:t>
      </w:r>
      <w:r w:rsidR="00741CA8" w:rsidRPr="00741CA8">
        <w:rPr>
          <w:rtl/>
        </w:rPr>
        <w:t xml:space="preserve">לגבי התקופה </w:t>
      </w:r>
      <w:r w:rsidR="00741CA8" w:rsidRPr="00741CA8">
        <w:rPr>
          <w:sz w:val="26"/>
          <w:rtl/>
        </w:rPr>
        <w:t>שמיום י"</w:t>
      </w:r>
      <w:r w:rsidR="00741CA8" w:rsidRPr="00741CA8">
        <w:rPr>
          <w:rFonts w:hint="cs"/>
          <w:sz w:val="26"/>
          <w:rtl/>
        </w:rPr>
        <w:t>א</w:t>
      </w:r>
      <w:r w:rsidR="00741CA8" w:rsidRPr="00741CA8">
        <w:rPr>
          <w:sz w:val="26"/>
          <w:rtl/>
        </w:rPr>
        <w:t xml:space="preserve"> ב</w:t>
      </w:r>
      <w:r w:rsidR="00741CA8" w:rsidRPr="00741CA8">
        <w:rPr>
          <w:rFonts w:hint="cs"/>
          <w:sz w:val="26"/>
          <w:rtl/>
        </w:rPr>
        <w:t>אדר</w:t>
      </w:r>
      <w:r w:rsidR="00741CA8" w:rsidRPr="00741CA8">
        <w:rPr>
          <w:sz w:val="26"/>
          <w:rtl/>
        </w:rPr>
        <w:t xml:space="preserve"> </w:t>
      </w:r>
      <w:proofErr w:type="spellStart"/>
      <w:r w:rsidR="00741CA8" w:rsidRPr="00741CA8">
        <w:rPr>
          <w:sz w:val="26"/>
          <w:rtl/>
        </w:rPr>
        <w:t>התשפ</w:t>
      </w:r>
      <w:proofErr w:type="spellEnd"/>
      <w:r w:rsidR="00741CA8" w:rsidRPr="00741CA8">
        <w:rPr>
          <w:sz w:val="26"/>
          <w:rtl/>
        </w:rPr>
        <w:t>"</w:t>
      </w:r>
      <w:r w:rsidR="00741CA8" w:rsidRPr="00741CA8">
        <w:rPr>
          <w:rFonts w:hint="cs"/>
          <w:sz w:val="26"/>
          <w:rtl/>
        </w:rPr>
        <w:t>ו</w:t>
      </w:r>
      <w:r w:rsidR="00741CA8" w:rsidRPr="00741CA8">
        <w:rPr>
          <w:sz w:val="26"/>
          <w:rtl/>
        </w:rPr>
        <w:t xml:space="preserve"> (</w:t>
      </w:r>
      <w:r w:rsidR="00741CA8" w:rsidRPr="00741CA8">
        <w:rPr>
          <w:rFonts w:hint="cs"/>
          <w:sz w:val="26"/>
          <w:rtl/>
        </w:rPr>
        <w:t>28</w:t>
      </w:r>
      <w:r w:rsidR="00741CA8" w:rsidRPr="00741CA8">
        <w:rPr>
          <w:sz w:val="26"/>
          <w:rtl/>
        </w:rPr>
        <w:t xml:space="preserve"> ב</w:t>
      </w:r>
      <w:r w:rsidR="00741CA8" w:rsidRPr="00741CA8">
        <w:rPr>
          <w:rFonts w:hint="cs"/>
          <w:sz w:val="26"/>
          <w:rtl/>
        </w:rPr>
        <w:t>פברואר</w:t>
      </w:r>
      <w:r w:rsidR="00741CA8" w:rsidRPr="00741CA8">
        <w:rPr>
          <w:sz w:val="26"/>
          <w:rtl/>
        </w:rPr>
        <w:t xml:space="preserve"> 202</w:t>
      </w:r>
      <w:r w:rsidR="00741CA8" w:rsidRPr="00741CA8">
        <w:rPr>
          <w:rFonts w:hint="cs"/>
          <w:sz w:val="26"/>
          <w:rtl/>
        </w:rPr>
        <w:t>6</w:t>
      </w:r>
      <w:r w:rsidR="00741CA8" w:rsidRPr="00741CA8">
        <w:rPr>
          <w:sz w:val="26"/>
          <w:rtl/>
        </w:rPr>
        <w:t xml:space="preserve">) עד יום </w:t>
      </w:r>
      <w:r w:rsidR="00741CA8" w:rsidRPr="00741CA8">
        <w:rPr>
          <w:rFonts w:hint="cs"/>
          <w:sz w:val="26"/>
          <w:rtl/>
        </w:rPr>
        <w:t>י"ג באייר</w:t>
      </w:r>
      <w:r w:rsidR="00741CA8" w:rsidRPr="00741CA8">
        <w:rPr>
          <w:sz w:val="26"/>
          <w:rtl/>
        </w:rPr>
        <w:t xml:space="preserve"> </w:t>
      </w:r>
      <w:proofErr w:type="spellStart"/>
      <w:r w:rsidR="00741CA8" w:rsidRPr="00741CA8">
        <w:rPr>
          <w:sz w:val="26"/>
          <w:rtl/>
        </w:rPr>
        <w:t>התשפ</w:t>
      </w:r>
      <w:proofErr w:type="spellEnd"/>
      <w:r w:rsidR="00741CA8" w:rsidRPr="00741CA8">
        <w:rPr>
          <w:sz w:val="26"/>
          <w:rtl/>
        </w:rPr>
        <w:t>"</w:t>
      </w:r>
      <w:r w:rsidR="00741CA8" w:rsidRPr="00741CA8">
        <w:rPr>
          <w:rFonts w:hint="cs"/>
          <w:sz w:val="26"/>
          <w:rtl/>
        </w:rPr>
        <w:t>ו</w:t>
      </w:r>
      <w:r w:rsidR="00741CA8" w:rsidRPr="00741CA8">
        <w:rPr>
          <w:sz w:val="26"/>
          <w:rtl/>
        </w:rPr>
        <w:t xml:space="preserve"> (</w:t>
      </w:r>
      <w:r w:rsidR="00741CA8" w:rsidRPr="00741CA8">
        <w:rPr>
          <w:rFonts w:hint="cs"/>
          <w:sz w:val="26"/>
          <w:rtl/>
        </w:rPr>
        <w:t>30 באפריל 2026</w:t>
      </w:r>
      <w:r w:rsidR="00741CA8" w:rsidRPr="00741CA8">
        <w:rPr>
          <w:sz w:val="26"/>
          <w:rtl/>
        </w:rPr>
        <w:t>)</w:t>
      </w:r>
      <w:r w:rsidR="00741CA8" w:rsidRPr="00741CA8">
        <w:rPr>
          <w:rFonts w:hint="cs"/>
          <w:sz w:val="26"/>
          <w:rtl/>
        </w:rPr>
        <w:t xml:space="preserve"> </w:t>
      </w:r>
      <w:r w:rsidR="00EC19BA" w:rsidRPr="00741CA8">
        <w:rPr>
          <w:rtl/>
        </w:rPr>
        <w:t>(להלן</w:t>
      </w:r>
      <w:r w:rsidR="00EC19BA" w:rsidRPr="001613E7">
        <w:rPr>
          <w:rtl/>
        </w:rPr>
        <w:t xml:space="preserve"> – התקופה הקובעת). בהתאם להוראות סעיף 296 לחוק הביטוח הלאומי, כנוסחו כיום, תביעה לדמי אבטלה תוגש תוך שנים עשר חודשים מה-1 בחודש של תחילת התקופה הקובעת</w:t>
      </w:r>
      <w:r w:rsidR="00EC19BA">
        <w:rPr>
          <w:rtl/>
        </w:rPr>
        <w:t xml:space="preserve">, כלומר מיום י"ד בשבט </w:t>
      </w:r>
      <w:proofErr w:type="spellStart"/>
      <w:r w:rsidR="00EC19BA">
        <w:rPr>
          <w:rtl/>
        </w:rPr>
        <w:t>התשפ</w:t>
      </w:r>
      <w:proofErr w:type="spellEnd"/>
      <w:r w:rsidR="00EC19BA">
        <w:rPr>
          <w:rtl/>
        </w:rPr>
        <w:t xml:space="preserve">"ו (1 בפברואר 2026). </w:t>
      </w:r>
      <w:r w:rsidR="00EC19BA">
        <w:rPr>
          <w:rFonts w:hint="cs"/>
          <w:rtl/>
        </w:rPr>
        <w:t xml:space="preserve"> </w:t>
      </w:r>
      <w:r w:rsidR="00EC19BA">
        <w:rPr>
          <w:rtl/>
        </w:rPr>
        <w:t xml:space="preserve">יצוין כי ההסדר המוצע דומה בעיקרו להסדר שנקבע בסעיף 4 בחוק התוכנית לסיוע כלכלי (הוראת שעה - חרבות ברזל), התשפ"ה-2025 (להלן – חוק הסיוע הכלכלי 2025). </w:t>
      </w:r>
    </w:p>
    <w:p w14:paraId="54DD1F67" w14:textId="77777777" w:rsidR="00EC19BA" w:rsidRDefault="00EC19BA" w:rsidP="00EC19BA">
      <w:pPr>
        <w:rPr>
          <w:rtl/>
        </w:rPr>
      </w:pPr>
    </w:p>
    <w:p w14:paraId="0E64E68B" w14:textId="7D79D935" w:rsidR="004E4189" w:rsidRPr="00B62481" w:rsidRDefault="004E4189" w:rsidP="004E4189">
      <w:pPr>
        <w:rPr>
          <w:rFonts w:ascii="Arial" w:eastAsia="Arial Unicode MS" w:hAnsi="Arial"/>
          <w:b/>
          <w:bCs/>
          <w:snapToGrid w:val="0"/>
          <w:rtl/>
        </w:rPr>
      </w:pPr>
      <w:r w:rsidRPr="00B62481">
        <w:rPr>
          <w:rFonts w:ascii="Arial" w:eastAsia="Arial Unicode MS" w:hAnsi="Arial" w:hint="eastAsia"/>
          <w:b/>
          <w:bCs/>
          <w:snapToGrid w:val="0"/>
          <w:rtl/>
        </w:rPr>
        <w:t>לפסקה</w:t>
      </w:r>
      <w:r w:rsidRPr="00B62481">
        <w:rPr>
          <w:rFonts w:ascii="Arial" w:eastAsia="Arial Unicode MS" w:hAnsi="Arial"/>
          <w:b/>
          <w:bCs/>
          <w:snapToGrid w:val="0"/>
          <w:rtl/>
        </w:rPr>
        <w:t xml:space="preserve"> (</w:t>
      </w:r>
      <w:r w:rsidR="00B62481" w:rsidRPr="00B62481">
        <w:rPr>
          <w:rFonts w:ascii="Arial" w:eastAsia="Arial Unicode MS" w:hAnsi="Arial" w:hint="cs"/>
          <w:b/>
          <w:bCs/>
          <w:snapToGrid w:val="0"/>
          <w:rtl/>
        </w:rPr>
        <w:t>1</w:t>
      </w:r>
      <w:r w:rsidRPr="00B62481">
        <w:rPr>
          <w:rFonts w:ascii="Arial" w:eastAsia="Arial Unicode MS" w:hAnsi="Arial"/>
          <w:b/>
          <w:bCs/>
          <w:snapToGrid w:val="0"/>
          <w:rtl/>
        </w:rPr>
        <w:t>)</w:t>
      </w:r>
      <w:r w:rsidRPr="00B62481">
        <w:rPr>
          <w:rFonts w:ascii="Arial" w:eastAsia="Arial Unicode MS" w:hAnsi="Arial"/>
          <w:b/>
          <w:bCs/>
          <w:snapToGrid w:val="0"/>
          <w:rtl/>
        </w:rPr>
        <w:tab/>
      </w:r>
    </w:p>
    <w:p w14:paraId="163E3E63" w14:textId="77777777" w:rsidR="00B62481" w:rsidRPr="00B62481" w:rsidRDefault="00B62481" w:rsidP="00B62481">
      <w:pPr>
        <w:tabs>
          <w:tab w:val="left" w:pos="680"/>
          <w:tab w:val="left" w:pos="1020"/>
        </w:tabs>
        <w:snapToGrid w:val="0"/>
        <w:rPr>
          <w:rFonts w:ascii="Arial" w:eastAsia="Arial Unicode MS" w:hAnsi="Arial"/>
          <w:snapToGrid w:val="0"/>
          <w:rtl/>
        </w:rPr>
      </w:pPr>
      <w:r w:rsidRPr="00B62481">
        <w:rPr>
          <w:rFonts w:ascii="Arial" w:eastAsia="Arial Unicode MS" w:hAnsi="Arial" w:hint="cs"/>
          <w:b/>
          <w:bCs/>
          <w:snapToGrid w:val="0"/>
          <w:rtl/>
        </w:rPr>
        <w:t xml:space="preserve">לסימן ט': הוראות מיוחדות לעניין ביטוח אבטלה </w:t>
      </w:r>
      <w:r w:rsidRPr="00B62481">
        <w:rPr>
          <w:rFonts w:ascii="Arial" w:eastAsia="Arial Unicode MS" w:hAnsi="Arial"/>
          <w:b/>
          <w:bCs/>
          <w:snapToGrid w:val="0"/>
          <w:rtl/>
        </w:rPr>
        <w:t>–</w:t>
      </w:r>
      <w:r w:rsidRPr="00B62481">
        <w:rPr>
          <w:rFonts w:ascii="Arial" w:eastAsia="Arial Unicode MS" w:hAnsi="Arial" w:hint="cs"/>
          <w:b/>
          <w:bCs/>
          <w:snapToGrid w:val="0"/>
          <w:rtl/>
        </w:rPr>
        <w:t xml:space="preserve"> תקופת הלחימה </w:t>
      </w:r>
      <w:r w:rsidRPr="00B62481">
        <w:rPr>
          <w:rFonts w:ascii="Arial" w:eastAsia="Arial Unicode MS" w:hAnsi="Arial"/>
          <w:b/>
          <w:bCs/>
          <w:snapToGrid w:val="0"/>
          <w:rtl/>
        </w:rPr>
        <w:t>–</w:t>
      </w:r>
      <w:r w:rsidRPr="00B62481">
        <w:rPr>
          <w:rFonts w:ascii="Arial" w:eastAsia="Arial Unicode MS" w:hAnsi="Arial" w:hint="cs"/>
          <w:b/>
          <w:bCs/>
          <w:snapToGrid w:val="0"/>
          <w:rtl/>
        </w:rPr>
        <w:t xml:space="preserve"> </w:t>
      </w:r>
      <w:bookmarkStart w:id="36" w:name="_ETM_Q1_2273120"/>
      <w:bookmarkEnd w:id="36"/>
      <w:r w:rsidRPr="00B62481">
        <w:rPr>
          <w:rFonts w:ascii="Arial" w:eastAsia="Arial Unicode MS" w:hAnsi="Arial" w:hint="cs"/>
          <w:b/>
          <w:bCs/>
          <w:snapToGrid w:val="0"/>
          <w:rtl/>
        </w:rPr>
        <w:t>מבצע שאגת הארי 2026</w:t>
      </w:r>
    </w:p>
    <w:p w14:paraId="6CEC283D" w14:textId="541CA434" w:rsidR="00B62481" w:rsidRDefault="00B62481" w:rsidP="00B62481">
      <w:pPr>
        <w:snapToGrid w:val="0"/>
        <w:ind w:firstLine="340"/>
        <w:rPr>
          <w:rFonts w:ascii="Arial" w:eastAsia="Arial Unicode MS" w:hAnsi="Arial"/>
          <w:snapToGrid w:val="0"/>
          <w:rtl/>
        </w:rPr>
      </w:pPr>
      <w:r w:rsidRPr="00B62481">
        <w:rPr>
          <w:rFonts w:ascii="Arial" w:eastAsia="Arial Unicode MS" w:hAnsi="Arial" w:hint="cs"/>
          <w:snapToGrid w:val="0"/>
          <w:rtl/>
        </w:rPr>
        <w:t xml:space="preserve">מוצע להוסיף בפרק ז' לחוק הביטוח הלאומי סימן ט', שעניינו הוראות מיוחדות לעניין ביטוח אבטלה בקשר לתקופה הקובעת. </w:t>
      </w:r>
    </w:p>
    <w:p w14:paraId="69D44324" w14:textId="77777777" w:rsidR="00741CA8" w:rsidRPr="00B62481" w:rsidRDefault="00741CA8" w:rsidP="00B62481">
      <w:pPr>
        <w:snapToGrid w:val="0"/>
        <w:ind w:firstLine="340"/>
        <w:rPr>
          <w:rFonts w:ascii="Arial" w:eastAsia="Arial Unicode MS" w:hAnsi="Arial"/>
          <w:snapToGrid w:val="0"/>
          <w:rtl/>
        </w:rPr>
      </w:pPr>
    </w:p>
    <w:p w14:paraId="3AD0A8EB" w14:textId="77777777" w:rsidR="00B62481" w:rsidRPr="00B62481" w:rsidRDefault="00B62481" w:rsidP="00B62481">
      <w:pPr>
        <w:tabs>
          <w:tab w:val="left" w:pos="1020"/>
        </w:tabs>
        <w:snapToGrid w:val="0"/>
        <w:rPr>
          <w:rFonts w:ascii="Arial" w:eastAsia="Arial Unicode MS" w:hAnsi="Arial"/>
          <w:b/>
          <w:bCs/>
          <w:snapToGrid w:val="0"/>
          <w:rtl/>
        </w:rPr>
      </w:pPr>
      <w:r w:rsidRPr="00B62481">
        <w:rPr>
          <w:rFonts w:ascii="Arial" w:eastAsia="Arial Unicode MS" w:hAnsi="Arial" w:hint="eastAsia"/>
          <w:b/>
          <w:bCs/>
          <w:snapToGrid w:val="0"/>
          <w:rtl/>
        </w:rPr>
        <w:t>לסעיף</w:t>
      </w:r>
      <w:r w:rsidRPr="00B62481">
        <w:rPr>
          <w:rFonts w:ascii="Arial" w:eastAsia="Arial Unicode MS" w:hAnsi="Arial"/>
          <w:b/>
          <w:bCs/>
          <w:snapToGrid w:val="0"/>
          <w:rtl/>
        </w:rPr>
        <w:t xml:space="preserve"> 179כ</w:t>
      </w:r>
      <w:r w:rsidRPr="00B62481">
        <w:rPr>
          <w:rFonts w:ascii="Arial" w:eastAsia="Arial Unicode MS" w:hAnsi="Arial" w:hint="cs"/>
          <w:b/>
          <w:bCs/>
          <w:snapToGrid w:val="0"/>
          <w:rtl/>
        </w:rPr>
        <w:t>ח</w:t>
      </w:r>
      <w:r w:rsidRPr="00B62481">
        <w:rPr>
          <w:rFonts w:ascii="Arial" w:eastAsia="Arial Unicode MS" w:hAnsi="Arial"/>
          <w:b/>
          <w:bCs/>
          <w:snapToGrid w:val="0"/>
          <w:rtl/>
        </w:rPr>
        <w:t xml:space="preserve"> </w:t>
      </w:r>
      <w:r w:rsidRPr="00B62481">
        <w:rPr>
          <w:rFonts w:ascii="Arial" w:eastAsia="Arial Unicode MS" w:hAnsi="Arial" w:hint="eastAsia"/>
          <w:b/>
          <w:bCs/>
          <w:snapToGrid w:val="0"/>
          <w:rtl/>
        </w:rPr>
        <w:t>המוצע</w:t>
      </w:r>
      <w:r w:rsidRPr="00B62481">
        <w:rPr>
          <w:rFonts w:ascii="Arial" w:eastAsia="Arial Unicode MS" w:hAnsi="Arial"/>
          <w:b/>
          <w:bCs/>
          <w:snapToGrid w:val="0"/>
          <w:rtl/>
        </w:rPr>
        <w:t xml:space="preserve"> </w:t>
      </w:r>
    </w:p>
    <w:p w14:paraId="71ED037A" w14:textId="77777777" w:rsidR="00B62481" w:rsidRPr="00B62481" w:rsidRDefault="00B62481" w:rsidP="00B62481">
      <w:pPr>
        <w:snapToGrid w:val="0"/>
        <w:ind w:firstLine="340"/>
        <w:rPr>
          <w:rFonts w:ascii="Arial" w:eastAsia="Arial Unicode MS" w:hAnsi="Arial"/>
          <w:snapToGrid w:val="0"/>
          <w:rtl/>
        </w:rPr>
      </w:pPr>
      <w:r w:rsidRPr="00B62481">
        <w:rPr>
          <w:rFonts w:ascii="Arial" w:eastAsia="Arial Unicode MS" w:hAnsi="Arial" w:hint="cs"/>
          <w:snapToGrid w:val="0"/>
          <w:rtl/>
        </w:rPr>
        <w:t xml:space="preserve">מוצע להגדיר את המונח "הפסקת העסקה" לצורך זכאות </w:t>
      </w:r>
      <w:r w:rsidRPr="00B62481">
        <w:rPr>
          <w:rFonts w:ascii="Arial" w:eastAsia="Arial Unicode MS" w:hAnsi="Arial" w:hint="eastAsia"/>
          <w:snapToGrid w:val="0"/>
          <w:rtl/>
        </w:rPr>
        <w:t>להקלות</w:t>
      </w:r>
      <w:r w:rsidRPr="00B62481">
        <w:rPr>
          <w:rFonts w:ascii="Arial" w:eastAsia="Arial Unicode MS" w:hAnsi="Arial" w:hint="cs"/>
          <w:snapToGrid w:val="0"/>
          <w:rtl/>
        </w:rPr>
        <w:t xml:space="preserve"> המיוחדות המוצעות בתקופה הקובעת, כך שהוא יכלול הפסקת העסקה של עובד בדרך של הודעת מעסיק על פיטורי העובד או הוצאת העובד לחופשה ללא תשלום ביוזמת המעסיק. </w:t>
      </w:r>
    </w:p>
    <w:p w14:paraId="2CAB63CC" w14:textId="4F662CA5" w:rsidR="00B62481" w:rsidRPr="00B62481" w:rsidRDefault="00B62481" w:rsidP="00B62481">
      <w:pPr>
        <w:snapToGrid w:val="0"/>
        <w:ind w:firstLine="340"/>
        <w:rPr>
          <w:rFonts w:ascii="Arial" w:eastAsia="Arial Unicode MS" w:hAnsi="Arial"/>
          <w:snapToGrid w:val="0"/>
          <w:rtl/>
        </w:rPr>
      </w:pPr>
      <w:r w:rsidRPr="00B62481">
        <w:rPr>
          <w:rFonts w:ascii="Arial" w:eastAsia="Arial Unicode MS" w:hAnsi="Arial" w:hint="eastAsia"/>
          <w:snapToGrid w:val="0"/>
          <w:rtl/>
        </w:rPr>
        <w:t>כדי</w:t>
      </w:r>
      <w:r w:rsidRPr="00B62481">
        <w:rPr>
          <w:rFonts w:ascii="Arial" w:eastAsia="Arial Unicode MS" w:hAnsi="Arial" w:hint="cs"/>
          <w:snapToGrid w:val="0"/>
          <w:rtl/>
        </w:rPr>
        <w:t xml:space="preserve"> להתמודד עם המצב </w:t>
      </w:r>
      <w:r w:rsidRPr="00B62481">
        <w:rPr>
          <w:rFonts w:ascii="Arial" w:eastAsia="Arial Unicode MS" w:hAnsi="Arial" w:hint="eastAsia"/>
          <w:snapToGrid w:val="0"/>
          <w:rtl/>
        </w:rPr>
        <w:t>ש</w:t>
      </w:r>
      <w:r w:rsidRPr="00B62481">
        <w:rPr>
          <w:rFonts w:ascii="Arial" w:eastAsia="Arial Unicode MS" w:hAnsi="Arial" w:hint="cs"/>
          <w:snapToGrid w:val="0"/>
          <w:rtl/>
        </w:rPr>
        <w:t xml:space="preserve">בו עובדים מסוימים הוצאו לחופשה ללא תשלום לתקופה קצרה, מוצע לקבוע כי בתקופה הקובעת ישולמו דמי אבטלה גם לעובד שהוצא לחופשה ללא תשלום לתקופה של 14 ימים, ולא רק בשל תקופה של 30 ימים כקבוע בחוק </w:t>
      </w:r>
      <w:r w:rsidRPr="00B62481">
        <w:rPr>
          <w:rFonts w:ascii="Arial" w:eastAsia="Arial Unicode MS" w:hAnsi="Arial" w:hint="eastAsia"/>
          <w:snapToGrid w:val="0"/>
          <w:rtl/>
        </w:rPr>
        <w:t>הביטוח</w:t>
      </w:r>
      <w:r w:rsidRPr="00B62481">
        <w:rPr>
          <w:rFonts w:ascii="Arial" w:eastAsia="Arial Unicode MS" w:hAnsi="Arial"/>
          <w:snapToGrid w:val="0"/>
          <w:rtl/>
        </w:rPr>
        <w:t xml:space="preserve"> הלאומי כנוסחו </w:t>
      </w:r>
      <w:r w:rsidRPr="00B62481">
        <w:rPr>
          <w:rFonts w:ascii="Arial" w:eastAsia="Arial Unicode MS" w:hAnsi="Arial" w:hint="eastAsia"/>
          <w:snapToGrid w:val="0"/>
          <w:rtl/>
        </w:rPr>
        <w:t>כ</w:t>
      </w:r>
      <w:r w:rsidRPr="00B62481">
        <w:rPr>
          <w:rFonts w:ascii="Arial" w:eastAsia="Arial Unicode MS" w:hAnsi="Arial" w:hint="cs"/>
          <w:snapToGrid w:val="0"/>
          <w:rtl/>
        </w:rPr>
        <w:t>יום</w:t>
      </w:r>
      <w:r w:rsidR="0072203D">
        <w:rPr>
          <w:rFonts w:ascii="Arial" w:eastAsia="Arial Unicode MS" w:hAnsi="Arial" w:hint="cs"/>
          <w:snapToGrid w:val="0"/>
          <w:rtl/>
        </w:rPr>
        <w:t xml:space="preserve">. </w:t>
      </w:r>
      <w:r w:rsidRPr="00B62481">
        <w:rPr>
          <w:rFonts w:ascii="Arial" w:eastAsia="Arial Unicode MS" w:hAnsi="Arial" w:hint="cs"/>
          <w:snapToGrid w:val="0"/>
          <w:rtl/>
        </w:rPr>
        <w:t xml:space="preserve">הוראה זו תקל על תנאי הזכאות לתשלום דמי אבטלה, כך שתחול גם בנסיבות של חופשה ללא תשלום קצרה יותר לעומת </w:t>
      </w:r>
      <w:r w:rsidRPr="00B62481">
        <w:rPr>
          <w:rFonts w:ascii="Arial" w:eastAsia="Arial Unicode MS" w:hAnsi="Arial" w:hint="eastAsia"/>
          <w:snapToGrid w:val="0"/>
          <w:rtl/>
        </w:rPr>
        <w:t>ההסדר</w:t>
      </w:r>
      <w:r w:rsidRPr="00B62481">
        <w:rPr>
          <w:rFonts w:ascii="Arial" w:eastAsia="Arial Unicode MS" w:hAnsi="Arial"/>
          <w:snapToGrid w:val="0"/>
          <w:rtl/>
        </w:rPr>
        <w:t xml:space="preserve"> </w:t>
      </w:r>
      <w:r w:rsidRPr="00B62481">
        <w:rPr>
          <w:rFonts w:ascii="Arial" w:eastAsia="Arial Unicode MS" w:hAnsi="Arial" w:hint="eastAsia"/>
          <w:snapToGrid w:val="0"/>
          <w:rtl/>
        </w:rPr>
        <w:t>החל</w:t>
      </w:r>
      <w:r w:rsidRPr="00B62481">
        <w:rPr>
          <w:rFonts w:ascii="Arial" w:eastAsia="Arial Unicode MS" w:hAnsi="Arial" w:hint="cs"/>
          <w:snapToGrid w:val="0"/>
          <w:rtl/>
        </w:rPr>
        <w:t xml:space="preserve"> בחוק </w:t>
      </w:r>
      <w:r w:rsidRPr="00B62481">
        <w:rPr>
          <w:rFonts w:ascii="Arial" w:eastAsia="Arial Unicode MS" w:hAnsi="Arial" w:hint="eastAsia"/>
          <w:snapToGrid w:val="0"/>
          <w:rtl/>
        </w:rPr>
        <w:t>הביטוח</w:t>
      </w:r>
      <w:r w:rsidRPr="00B62481">
        <w:rPr>
          <w:rFonts w:ascii="Arial" w:eastAsia="Arial Unicode MS" w:hAnsi="Arial"/>
          <w:snapToGrid w:val="0"/>
          <w:rtl/>
        </w:rPr>
        <w:t xml:space="preserve"> הלאומי כנוסחו </w:t>
      </w:r>
      <w:r w:rsidRPr="00B62481">
        <w:rPr>
          <w:rFonts w:ascii="Arial" w:eastAsia="Arial Unicode MS" w:hAnsi="Arial" w:hint="cs"/>
          <w:snapToGrid w:val="0"/>
          <w:rtl/>
        </w:rPr>
        <w:t xml:space="preserve">כיום. </w:t>
      </w:r>
    </w:p>
    <w:p w14:paraId="462041FB" w14:textId="38CEAB66" w:rsidR="00B62481" w:rsidRPr="001613E7" w:rsidRDefault="00B62481" w:rsidP="00B62481">
      <w:pPr>
        <w:snapToGrid w:val="0"/>
        <w:ind w:firstLine="340"/>
        <w:rPr>
          <w:rFonts w:ascii="Arial" w:eastAsia="Arial Unicode MS" w:hAnsi="Arial"/>
          <w:b/>
          <w:bCs/>
          <w:snapToGrid w:val="0"/>
          <w:color w:val="FF0000"/>
          <w:rtl/>
        </w:rPr>
      </w:pPr>
      <w:r w:rsidRPr="00B62481">
        <w:rPr>
          <w:rFonts w:ascii="Arial" w:eastAsia="Arial Unicode MS" w:hAnsi="Arial" w:hint="cs"/>
          <w:snapToGrid w:val="0"/>
          <w:rtl/>
        </w:rPr>
        <w:t xml:space="preserve">נוסף על כך, מוצע להגדיר את המונח </w:t>
      </w:r>
      <w:r w:rsidR="0072203D">
        <w:rPr>
          <w:rFonts w:ascii="Arial" w:eastAsia="Arial Unicode MS" w:hAnsi="Arial" w:hint="cs"/>
          <w:snapToGrid w:val="0"/>
          <w:rtl/>
        </w:rPr>
        <w:t>"</w:t>
      </w:r>
      <w:r w:rsidRPr="00B62481">
        <w:rPr>
          <w:rFonts w:eastAsia="Arial Unicode MS"/>
          <w:snapToGrid w:val="0"/>
          <w:rtl/>
        </w:rPr>
        <w:t>התקופה</w:t>
      </w:r>
      <w:r w:rsidR="0072203D">
        <w:rPr>
          <w:rFonts w:eastAsia="Arial Unicode MS" w:hint="cs"/>
          <w:snapToGrid w:val="0"/>
          <w:rtl/>
        </w:rPr>
        <w:t xml:space="preserve"> הקובעת</w:t>
      </w:r>
      <w:r w:rsidR="0072203D" w:rsidRPr="001613E7">
        <w:rPr>
          <w:rFonts w:eastAsia="Arial Unicode MS" w:hint="cs"/>
          <w:snapToGrid w:val="0"/>
          <w:rtl/>
        </w:rPr>
        <w:t>"</w:t>
      </w:r>
      <w:r w:rsidRPr="001613E7">
        <w:rPr>
          <w:rFonts w:eastAsia="Arial Unicode MS"/>
          <w:snapToGrid w:val="0"/>
          <w:rtl/>
        </w:rPr>
        <w:t xml:space="preserve"> </w:t>
      </w:r>
      <w:r w:rsidR="0072203D" w:rsidRPr="001613E7">
        <w:rPr>
          <w:rFonts w:hint="cs"/>
          <w:rtl/>
        </w:rPr>
        <w:t xml:space="preserve">שלגביו חל </w:t>
      </w:r>
      <w:r w:rsidR="0072203D" w:rsidRPr="00741CA8">
        <w:rPr>
          <w:rFonts w:hint="cs"/>
          <w:rtl/>
        </w:rPr>
        <w:t xml:space="preserve">ההסדר המוצע </w:t>
      </w:r>
      <w:r w:rsidR="00741CA8" w:rsidRPr="00741CA8">
        <w:rPr>
          <w:rFonts w:hint="cs"/>
          <w:sz w:val="26"/>
          <w:rtl/>
        </w:rPr>
        <w:t>ל</w:t>
      </w:r>
      <w:r w:rsidR="00741CA8" w:rsidRPr="00741CA8">
        <w:rPr>
          <w:sz w:val="26"/>
          <w:rtl/>
        </w:rPr>
        <w:t>תקופה שמיום י"</w:t>
      </w:r>
      <w:r w:rsidR="00741CA8" w:rsidRPr="00741CA8">
        <w:rPr>
          <w:rFonts w:hint="cs"/>
          <w:sz w:val="26"/>
          <w:rtl/>
        </w:rPr>
        <w:t>א</w:t>
      </w:r>
      <w:r w:rsidR="00741CA8" w:rsidRPr="00741CA8">
        <w:rPr>
          <w:sz w:val="26"/>
          <w:rtl/>
        </w:rPr>
        <w:t xml:space="preserve"> ב</w:t>
      </w:r>
      <w:r w:rsidR="00741CA8" w:rsidRPr="00741CA8">
        <w:rPr>
          <w:rFonts w:hint="cs"/>
          <w:sz w:val="26"/>
          <w:rtl/>
        </w:rPr>
        <w:t>אדר</w:t>
      </w:r>
      <w:r w:rsidR="00741CA8" w:rsidRPr="00741CA8">
        <w:rPr>
          <w:sz w:val="26"/>
          <w:rtl/>
        </w:rPr>
        <w:t xml:space="preserve"> </w:t>
      </w:r>
      <w:proofErr w:type="spellStart"/>
      <w:r w:rsidR="00741CA8" w:rsidRPr="00741CA8">
        <w:rPr>
          <w:sz w:val="26"/>
          <w:rtl/>
        </w:rPr>
        <w:t>התשפ</w:t>
      </w:r>
      <w:proofErr w:type="spellEnd"/>
      <w:r w:rsidR="00741CA8" w:rsidRPr="00741CA8">
        <w:rPr>
          <w:sz w:val="26"/>
          <w:rtl/>
        </w:rPr>
        <w:t>"</w:t>
      </w:r>
      <w:r w:rsidR="00741CA8" w:rsidRPr="00741CA8">
        <w:rPr>
          <w:rFonts w:hint="cs"/>
          <w:sz w:val="26"/>
          <w:rtl/>
        </w:rPr>
        <w:t>ו</w:t>
      </w:r>
      <w:r w:rsidR="00741CA8" w:rsidRPr="00741CA8">
        <w:rPr>
          <w:sz w:val="26"/>
          <w:rtl/>
        </w:rPr>
        <w:t xml:space="preserve"> (</w:t>
      </w:r>
      <w:r w:rsidR="00741CA8" w:rsidRPr="00741CA8">
        <w:rPr>
          <w:rFonts w:hint="cs"/>
          <w:sz w:val="26"/>
          <w:rtl/>
        </w:rPr>
        <w:t>28</w:t>
      </w:r>
      <w:r w:rsidR="00741CA8" w:rsidRPr="00741CA8">
        <w:rPr>
          <w:sz w:val="26"/>
          <w:rtl/>
        </w:rPr>
        <w:t xml:space="preserve"> ב</w:t>
      </w:r>
      <w:r w:rsidR="00741CA8" w:rsidRPr="00741CA8">
        <w:rPr>
          <w:rFonts w:hint="cs"/>
          <w:sz w:val="26"/>
          <w:rtl/>
        </w:rPr>
        <w:t>פברואר</w:t>
      </w:r>
      <w:r w:rsidR="00741CA8" w:rsidRPr="00741CA8">
        <w:rPr>
          <w:sz w:val="26"/>
          <w:rtl/>
        </w:rPr>
        <w:t xml:space="preserve"> 202</w:t>
      </w:r>
      <w:r w:rsidR="00741CA8" w:rsidRPr="00741CA8">
        <w:rPr>
          <w:rFonts w:hint="cs"/>
          <w:sz w:val="26"/>
          <w:rtl/>
        </w:rPr>
        <w:t>6</w:t>
      </w:r>
      <w:r w:rsidR="00741CA8" w:rsidRPr="00741CA8">
        <w:rPr>
          <w:sz w:val="26"/>
          <w:rtl/>
        </w:rPr>
        <w:t xml:space="preserve">) עד יום </w:t>
      </w:r>
      <w:r w:rsidR="00741CA8" w:rsidRPr="00741CA8">
        <w:rPr>
          <w:rFonts w:hint="cs"/>
          <w:sz w:val="26"/>
          <w:rtl/>
        </w:rPr>
        <w:t>י"ג באייר</w:t>
      </w:r>
      <w:r w:rsidR="00741CA8" w:rsidRPr="00741CA8">
        <w:rPr>
          <w:sz w:val="26"/>
          <w:rtl/>
        </w:rPr>
        <w:t xml:space="preserve"> </w:t>
      </w:r>
      <w:proofErr w:type="spellStart"/>
      <w:r w:rsidR="00741CA8" w:rsidRPr="00741CA8">
        <w:rPr>
          <w:sz w:val="26"/>
          <w:rtl/>
        </w:rPr>
        <w:t>התשפ</w:t>
      </w:r>
      <w:proofErr w:type="spellEnd"/>
      <w:r w:rsidR="00741CA8" w:rsidRPr="00741CA8">
        <w:rPr>
          <w:sz w:val="26"/>
          <w:rtl/>
        </w:rPr>
        <w:t>"</w:t>
      </w:r>
      <w:r w:rsidR="00741CA8" w:rsidRPr="00741CA8">
        <w:rPr>
          <w:rFonts w:hint="cs"/>
          <w:sz w:val="26"/>
          <w:rtl/>
        </w:rPr>
        <w:t>ו</w:t>
      </w:r>
      <w:r w:rsidR="00741CA8" w:rsidRPr="00741CA8">
        <w:rPr>
          <w:sz w:val="26"/>
          <w:rtl/>
        </w:rPr>
        <w:t xml:space="preserve"> (</w:t>
      </w:r>
      <w:r w:rsidR="00741CA8" w:rsidRPr="00741CA8">
        <w:rPr>
          <w:rFonts w:hint="cs"/>
          <w:sz w:val="26"/>
          <w:rtl/>
        </w:rPr>
        <w:t>30 באפריל 2026</w:t>
      </w:r>
      <w:r w:rsidR="00741CA8">
        <w:rPr>
          <w:rFonts w:hint="cs"/>
          <w:sz w:val="26"/>
          <w:rtl/>
        </w:rPr>
        <w:t>).</w:t>
      </w:r>
    </w:p>
    <w:p w14:paraId="7707B2CD" w14:textId="77777777" w:rsidR="00741CA8" w:rsidRDefault="00741CA8" w:rsidP="00B62481">
      <w:pPr>
        <w:tabs>
          <w:tab w:val="left" w:pos="1020"/>
        </w:tabs>
        <w:snapToGrid w:val="0"/>
        <w:rPr>
          <w:rFonts w:ascii="Arial" w:eastAsia="Arial Unicode MS" w:hAnsi="Arial"/>
          <w:b/>
          <w:bCs/>
          <w:snapToGrid w:val="0"/>
          <w:rtl/>
        </w:rPr>
      </w:pPr>
    </w:p>
    <w:p w14:paraId="5E900EDA" w14:textId="2C168561" w:rsidR="00B62481" w:rsidRPr="00B62481" w:rsidRDefault="00B62481" w:rsidP="00B62481">
      <w:pPr>
        <w:tabs>
          <w:tab w:val="left" w:pos="1020"/>
        </w:tabs>
        <w:snapToGrid w:val="0"/>
        <w:rPr>
          <w:rFonts w:ascii="Arial" w:eastAsia="Arial Unicode MS" w:hAnsi="Arial"/>
          <w:b/>
          <w:bCs/>
          <w:snapToGrid w:val="0"/>
          <w:rtl/>
        </w:rPr>
      </w:pPr>
      <w:r w:rsidRPr="001613E7">
        <w:rPr>
          <w:rFonts w:ascii="Arial" w:eastAsia="Arial Unicode MS" w:hAnsi="Arial" w:hint="eastAsia"/>
          <w:b/>
          <w:bCs/>
          <w:snapToGrid w:val="0"/>
          <w:rtl/>
        </w:rPr>
        <w:t>לסעיף</w:t>
      </w:r>
      <w:r w:rsidRPr="001613E7">
        <w:rPr>
          <w:rFonts w:ascii="Arial" w:eastAsia="Arial Unicode MS" w:hAnsi="Arial"/>
          <w:b/>
          <w:bCs/>
          <w:snapToGrid w:val="0"/>
          <w:rtl/>
        </w:rPr>
        <w:t xml:space="preserve"> 179</w:t>
      </w:r>
      <w:r w:rsidRPr="001613E7">
        <w:rPr>
          <w:rFonts w:ascii="Arial" w:eastAsia="Arial Unicode MS" w:hAnsi="Arial" w:hint="eastAsia"/>
          <w:b/>
          <w:bCs/>
          <w:snapToGrid w:val="0"/>
          <w:rtl/>
        </w:rPr>
        <w:t>כ</w:t>
      </w:r>
      <w:r w:rsidRPr="001613E7">
        <w:rPr>
          <w:rFonts w:ascii="Arial" w:eastAsia="Arial Unicode MS" w:hAnsi="Arial" w:hint="cs"/>
          <w:b/>
          <w:bCs/>
          <w:snapToGrid w:val="0"/>
          <w:rtl/>
        </w:rPr>
        <w:t>ט</w:t>
      </w:r>
      <w:r w:rsidRPr="001613E7">
        <w:rPr>
          <w:rFonts w:ascii="Arial" w:eastAsia="Arial Unicode MS" w:hAnsi="Arial"/>
          <w:b/>
          <w:bCs/>
          <w:snapToGrid w:val="0"/>
          <w:rtl/>
        </w:rPr>
        <w:t xml:space="preserve"> </w:t>
      </w:r>
      <w:r w:rsidRPr="001613E7">
        <w:rPr>
          <w:rFonts w:ascii="Arial" w:eastAsia="Arial Unicode MS" w:hAnsi="Arial" w:hint="eastAsia"/>
          <w:b/>
          <w:bCs/>
          <w:snapToGrid w:val="0"/>
          <w:rtl/>
        </w:rPr>
        <w:t>המוצע</w:t>
      </w:r>
      <w:r w:rsidRPr="00B62481">
        <w:rPr>
          <w:rFonts w:ascii="Arial" w:eastAsia="Arial Unicode MS" w:hAnsi="Arial"/>
          <w:b/>
          <w:bCs/>
          <w:snapToGrid w:val="0"/>
          <w:rtl/>
        </w:rPr>
        <w:t xml:space="preserve"> </w:t>
      </w:r>
    </w:p>
    <w:p w14:paraId="6B4BFF47" w14:textId="77777777" w:rsidR="00741CA8" w:rsidRPr="00741CA8" w:rsidRDefault="00741CA8" w:rsidP="00741CA8">
      <w:pPr>
        <w:tabs>
          <w:tab w:val="left" w:pos="1020"/>
        </w:tabs>
        <w:snapToGrid w:val="0"/>
        <w:rPr>
          <w:rFonts w:ascii="Arial" w:eastAsia="Arial Unicode MS" w:hAnsi="Arial"/>
        </w:rPr>
      </w:pPr>
      <w:r w:rsidRPr="00741CA8">
        <w:rPr>
          <w:rFonts w:ascii="Arial" w:eastAsia="Arial Unicode MS" w:hAnsi="Arial"/>
          <w:rtl/>
        </w:rPr>
        <w:t>ככלל, מבוטח זכאי לדמי אבטלה אם השלים תקופת אכשרה של 12 חודשים קלנדריים שבעדם שולמו דמי ביטוח אבטלה, בעד אחד או יותר מהימים בחודש, בתוך 18 החודשים בתכוף לתאריך הקובע. כדי להקל על המבוטחים, מוצע לקבוע כי בתקופה הקובעת, תינתן זכאות לדמי אבטלה כאמור אם המבוטח השלים תקופת אכשרה של 6 חודשים לפחות, ואולם לא ימנו לעניין זה ימי שירות סדיר על פי חוק שירות בטחון [נוסח משולב], התשמ"ו-1986, בתקופת האכשרה כאמור.</w:t>
      </w:r>
    </w:p>
    <w:p w14:paraId="5D8D45CC" w14:textId="77777777" w:rsidR="00741CA8" w:rsidRPr="00741CA8" w:rsidRDefault="00741CA8" w:rsidP="00741CA8">
      <w:pPr>
        <w:tabs>
          <w:tab w:val="left" w:pos="1020"/>
        </w:tabs>
        <w:snapToGrid w:val="0"/>
        <w:rPr>
          <w:rFonts w:ascii="Arial" w:eastAsia="Arial Unicode MS" w:hAnsi="Arial"/>
          <w:rtl/>
        </w:rPr>
      </w:pPr>
      <w:r w:rsidRPr="00741CA8">
        <w:rPr>
          <w:rFonts w:ascii="Arial" w:eastAsia="Arial Unicode MS" w:hAnsi="Arial"/>
          <w:rtl/>
        </w:rPr>
        <w:t>עוד מוצע, בדומה להסדר שנקבע בחוק הסיוע הכלכלי 2025, לקבוע תקופת אכשרה קצרה יותר למבוטח שהוא אדם עם מוגבלות שמתקיים בו לפחות אחד מתנאי החוק, כך שיידרש לתקופת אכשרה בת שלושה חודשים לפחות.</w:t>
      </w:r>
    </w:p>
    <w:p w14:paraId="0FBB7875" w14:textId="77777777" w:rsidR="00741CA8" w:rsidRPr="00741CA8" w:rsidRDefault="00741CA8" w:rsidP="00741CA8">
      <w:pPr>
        <w:tabs>
          <w:tab w:val="left" w:pos="1020"/>
        </w:tabs>
        <w:snapToGrid w:val="0"/>
        <w:rPr>
          <w:rFonts w:ascii="Arial" w:eastAsia="Arial Unicode MS" w:hAnsi="Arial"/>
          <w:rtl/>
        </w:rPr>
      </w:pPr>
      <w:r w:rsidRPr="00741CA8">
        <w:rPr>
          <w:rFonts w:ascii="Arial" w:eastAsia="Arial Unicode MS" w:hAnsi="Arial"/>
          <w:rtl/>
        </w:rPr>
        <w:t>עוד מוצע לכלול  בדומה להסדר שנקבע בחוק הסיוע הכלכלי 2025, הקלה גם לחיילים משוחררים משירות סדיר, כך שלצורך תקופת האכשרה של שישה חודשים לפחות הנדרשת בתיקון המוצע, עד שלושה חודשים משירותם הסדיר יכללו בתקופה כאמור.</w:t>
      </w:r>
    </w:p>
    <w:p w14:paraId="4CB3E2F4" w14:textId="77777777" w:rsidR="00741CA8" w:rsidRDefault="00741CA8" w:rsidP="00B62481">
      <w:pPr>
        <w:tabs>
          <w:tab w:val="left" w:pos="1020"/>
        </w:tabs>
        <w:snapToGrid w:val="0"/>
        <w:rPr>
          <w:rFonts w:ascii="Arial" w:eastAsia="Arial Unicode MS" w:hAnsi="Arial"/>
          <w:b/>
          <w:bCs/>
          <w:snapToGrid w:val="0"/>
          <w:rtl/>
        </w:rPr>
      </w:pPr>
    </w:p>
    <w:p w14:paraId="2402B1BA" w14:textId="4009A2B5" w:rsidR="00B62481" w:rsidRPr="00B62481" w:rsidRDefault="00B62481" w:rsidP="00B62481">
      <w:pPr>
        <w:tabs>
          <w:tab w:val="left" w:pos="1020"/>
        </w:tabs>
        <w:snapToGrid w:val="0"/>
        <w:rPr>
          <w:rFonts w:ascii="Arial" w:eastAsia="Arial Unicode MS" w:hAnsi="Arial"/>
          <w:b/>
          <w:bCs/>
          <w:snapToGrid w:val="0"/>
          <w:rtl/>
        </w:rPr>
      </w:pPr>
      <w:r w:rsidRPr="00B62481">
        <w:rPr>
          <w:rFonts w:ascii="Arial" w:eastAsia="Arial Unicode MS" w:hAnsi="Arial" w:hint="eastAsia"/>
          <w:b/>
          <w:bCs/>
          <w:snapToGrid w:val="0"/>
          <w:rtl/>
        </w:rPr>
        <w:t>לסעיף</w:t>
      </w:r>
      <w:r w:rsidRPr="00B62481">
        <w:rPr>
          <w:rFonts w:ascii="Arial" w:eastAsia="Arial Unicode MS" w:hAnsi="Arial"/>
          <w:b/>
          <w:bCs/>
          <w:snapToGrid w:val="0"/>
          <w:rtl/>
        </w:rPr>
        <w:t xml:space="preserve"> 179</w:t>
      </w:r>
      <w:r w:rsidRPr="00B62481">
        <w:rPr>
          <w:rFonts w:ascii="Arial" w:eastAsia="Arial Unicode MS" w:hAnsi="Arial" w:hint="cs"/>
          <w:b/>
          <w:bCs/>
          <w:snapToGrid w:val="0"/>
          <w:rtl/>
        </w:rPr>
        <w:t>ל</w:t>
      </w:r>
      <w:r w:rsidRPr="00B62481">
        <w:rPr>
          <w:rFonts w:ascii="Arial" w:eastAsia="Arial Unicode MS" w:hAnsi="Arial"/>
          <w:b/>
          <w:bCs/>
          <w:snapToGrid w:val="0"/>
          <w:rtl/>
        </w:rPr>
        <w:t xml:space="preserve"> המוצע</w:t>
      </w:r>
    </w:p>
    <w:p w14:paraId="16690523" w14:textId="7D635722" w:rsidR="00B62481" w:rsidRDefault="00B62481" w:rsidP="00B62481">
      <w:pPr>
        <w:snapToGrid w:val="0"/>
        <w:ind w:firstLine="340"/>
        <w:rPr>
          <w:rFonts w:ascii="Arial" w:eastAsia="Arial Unicode MS" w:hAnsi="Arial"/>
          <w:snapToGrid w:val="0"/>
          <w:rtl/>
        </w:rPr>
      </w:pPr>
      <w:r w:rsidRPr="00B62481">
        <w:rPr>
          <w:rFonts w:ascii="Arial" w:eastAsia="Arial Unicode MS" w:hAnsi="Arial" w:hint="cs"/>
          <w:snapToGrid w:val="0"/>
          <w:rtl/>
        </w:rPr>
        <w:t xml:space="preserve"> מוצע להקל את התנאים לזכאות לדמי אבטלה למבוטח שטרם מלאו לו 40 שנים שקיבל דמי אבטלה במהלך ארבע השנים האחרונות וניצל את מלוא מכסת הימים לפי סעיף 171א לחוק הביטוח הלאומי לפני התקופה הקובעת או במהלכה וכן הגיש תביעה חדשה לדמי אבטלה כאמור, אם המבוטח השלים תקופת אכשרה של 6 חודשים לפחות, כך שיהיה זכאי לדמי אבטלה עד תום תקופת הוראת השעה, ובלבד שתקופת האבטלה חלה בתקופה הקובעת. </w:t>
      </w:r>
    </w:p>
    <w:p w14:paraId="6712AC82" w14:textId="77777777" w:rsidR="00741CA8" w:rsidRPr="00B62481" w:rsidRDefault="00741CA8" w:rsidP="00B62481">
      <w:pPr>
        <w:snapToGrid w:val="0"/>
        <w:ind w:firstLine="340"/>
        <w:rPr>
          <w:rFonts w:ascii="Arial" w:eastAsia="Arial Unicode MS" w:hAnsi="Arial"/>
          <w:snapToGrid w:val="0"/>
          <w:rtl/>
        </w:rPr>
      </w:pPr>
    </w:p>
    <w:p w14:paraId="55F6DE04" w14:textId="77777777" w:rsidR="00B62481" w:rsidRPr="00B62481" w:rsidRDefault="00B62481" w:rsidP="00B62481">
      <w:pPr>
        <w:tabs>
          <w:tab w:val="left" w:pos="1020"/>
        </w:tabs>
        <w:snapToGrid w:val="0"/>
        <w:rPr>
          <w:rFonts w:ascii="Arial" w:eastAsia="Arial Unicode MS" w:hAnsi="Arial"/>
          <w:b/>
          <w:bCs/>
          <w:snapToGrid w:val="0"/>
          <w:rtl/>
        </w:rPr>
      </w:pPr>
      <w:r w:rsidRPr="00B62481">
        <w:rPr>
          <w:rFonts w:ascii="Arial" w:eastAsia="Arial Unicode MS" w:hAnsi="Arial" w:hint="eastAsia"/>
          <w:b/>
          <w:bCs/>
          <w:snapToGrid w:val="0"/>
          <w:rtl/>
        </w:rPr>
        <w:t>לסעיף</w:t>
      </w:r>
      <w:r w:rsidRPr="00B62481">
        <w:rPr>
          <w:rFonts w:ascii="Arial" w:eastAsia="Arial Unicode MS" w:hAnsi="Arial"/>
          <w:b/>
          <w:bCs/>
          <w:snapToGrid w:val="0"/>
          <w:rtl/>
        </w:rPr>
        <w:t xml:space="preserve"> 179</w:t>
      </w:r>
      <w:r w:rsidRPr="00B62481">
        <w:rPr>
          <w:rFonts w:ascii="Arial" w:eastAsia="Arial Unicode MS" w:hAnsi="Arial" w:hint="cs"/>
          <w:b/>
          <w:bCs/>
          <w:snapToGrid w:val="0"/>
          <w:rtl/>
        </w:rPr>
        <w:t>לא</w:t>
      </w:r>
      <w:r w:rsidRPr="00B62481">
        <w:rPr>
          <w:rFonts w:ascii="Arial" w:eastAsia="Arial Unicode MS" w:hAnsi="Arial"/>
          <w:b/>
          <w:bCs/>
          <w:snapToGrid w:val="0"/>
          <w:rtl/>
        </w:rPr>
        <w:t xml:space="preserve"> המוצע</w:t>
      </w:r>
    </w:p>
    <w:p w14:paraId="7AB0122C" w14:textId="5270EC7D" w:rsidR="00B62481" w:rsidRDefault="00B62481" w:rsidP="00B62481">
      <w:pPr>
        <w:snapToGrid w:val="0"/>
        <w:ind w:firstLine="340"/>
        <w:rPr>
          <w:rFonts w:ascii="Arial" w:eastAsia="Arial Unicode MS" w:hAnsi="Arial"/>
          <w:b/>
          <w:bCs/>
          <w:snapToGrid w:val="0"/>
          <w:rtl/>
        </w:rPr>
      </w:pPr>
      <w:r w:rsidRPr="00B62481">
        <w:rPr>
          <w:rFonts w:ascii="Arial" w:eastAsia="Arial Unicode MS" w:hAnsi="Arial" w:hint="cs"/>
          <w:snapToGrid w:val="0"/>
          <w:rtl/>
        </w:rPr>
        <w:t xml:space="preserve">סעיף 172 לחוק הביטוח הלאומי קובע כי לא ישולמו דמי אבטלה למבוטח בעד חמשת ימי האבטלה הראשונים, מכל תקופה של ארבעה חודשים רצופים, בתקופת הזכאות לדמי אבטלה. מוצע לקבוע כי הסעיף האמור לא יחול </w:t>
      </w:r>
      <w:r w:rsidRPr="00B62481">
        <w:rPr>
          <w:rFonts w:ascii="Arial" w:eastAsia="Arial Unicode MS" w:hAnsi="Arial"/>
          <w:snapToGrid w:val="0"/>
          <w:rtl/>
        </w:rPr>
        <w:t xml:space="preserve">לעניין תשלום דמי אבטלה </w:t>
      </w:r>
      <w:r w:rsidRPr="00B62481">
        <w:rPr>
          <w:rFonts w:ascii="Arial" w:eastAsia="Arial Unicode MS" w:hAnsi="Arial" w:hint="cs"/>
          <w:snapToGrid w:val="0"/>
          <w:rtl/>
        </w:rPr>
        <w:t>בתקופה הראשונה, שחלה ב</w:t>
      </w:r>
      <w:r w:rsidRPr="00B62481">
        <w:rPr>
          <w:rFonts w:ascii="Arial" w:eastAsia="Arial Unicode MS" w:hAnsi="Arial"/>
          <w:snapToGrid w:val="0"/>
          <w:rtl/>
        </w:rPr>
        <w:t>תקופה הקובעת</w:t>
      </w:r>
      <w:r w:rsidRPr="00B62481">
        <w:rPr>
          <w:rFonts w:ascii="Arial" w:eastAsia="Arial Unicode MS" w:hAnsi="Arial" w:hint="cs"/>
          <w:snapToGrid w:val="0"/>
          <w:rtl/>
        </w:rPr>
        <w:t xml:space="preserve">, כך שדמי האבטלה ישולמו החל מהיום הראשון למי שעומד בתנאי הזכאות בתקופה הקובעת. </w:t>
      </w:r>
    </w:p>
    <w:p w14:paraId="512D5B83" w14:textId="77777777" w:rsidR="00741CA8" w:rsidRPr="00B62481" w:rsidRDefault="00741CA8" w:rsidP="00B62481">
      <w:pPr>
        <w:snapToGrid w:val="0"/>
        <w:ind w:firstLine="340"/>
        <w:rPr>
          <w:rFonts w:ascii="Arial" w:eastAsia="Arial Unicode MS" w:hAnsi="Arial"/>
          <w:b/>
          <w:bCs/>
          <w:snapToGrid w:val="0"/>
          <w:rtl/>
        </w:rPr>
      </w:pPr>
    </w:p>
    <w:p w14:paraId="4FB61034" w14:textId="77777777" w:rsidR="00B62481" w:rsidRPr="00B62481" w:rsidRDefault="00B62481" w:rsidP="00B62481">
      <w:pPr>
        <w:tabs>
          <w:tab w:val="left" w:pos="1020"/>
        </w:tabs>
        <w:snapToGrid w:val="0"/>
        <w:rPr>
          <w:rFonts w:ascii="Arial" w:eastAsia="Arial Unicode MS" w:hAnsi="Arial"/>
          <w:b/>
          <w:bCs/>
          <w:snapToGrid w:val="0"/>
          <w:rtl/>
        </w:rPr>
      </w:pPr>
      <w:r w:rsidRPr="00B62481">
        <w:rPr>
          <w:rFonts w:ascii="Arial" w:eastAsia="Arial Unicode MS" w:hAnsi="Arial" w:hint="eastAsia"/>
          <w:b/>
          <w:bCs/>
          <w:snapToGrid w:val="0"/>
          <w:rtl/>
        </w:rPr>
        <w:t>לסעיף</w:t>
      </w:r>
      <w:r w:rsidRPr="00B62481">
        <w:rPr>
          <w:rFonts w:ascii="Arial" w:eastAsia="Arial Unicode MS" w:hAnsi="Arial"/>
          <w:b/>
          <w:bCs/>
          <w:snapToGrid w:val="0"/>
          <w:rtl/>
        </w:rPr>
        <w:t xml:space="preserve"> 179</w:t>
      </w:r>
      <w:r w:rsidRPr="00B62481">
        <w:rPr>
          <w:rFonts w:ascii="Arial" w:eastAsia="Arial Unicode MS" w:hAnsi="Arial" w:hint="cs"/>
          <w:b/>
          <w:bCs/>
          <w:snapToGrid w:val="0"/>
          <w:rtl/>
        </w:rPr>
        <w:t>לב</w:t>
      </w:r>
      <w:r w:rsidRPr="00B62481">
        <w:rPr>
          <w:rFonts w:ascii="Arial" w:eastAsia="Arial Unicode MS" w:hAnsi="Arial"/>
          <w:b/>
          <w:bCs/>
          <w:snapToGrid w:val="0"/>
          <w:rtl/>
        </w:rPr>
        <w:t xml:space="preserve"> </w:t>
      </w:r>
      <w:r w:rsidRPr="00B62481">
        <w:rPr>
          <w:rFonts w:ascii="Arial" w:eastAsia="Arial Unicode MS" w:hAnsi="Arial" w:hint="eastAsia"/>
          <w:b/>
          <w:bCs/>
          <w:snapToGrid w:val="0"/>
          <w:rtl/>
        </w:rPr>
        <w:t>המוצע</w:t>
      </w:r>
    </w:p>
    <w:p w14:paraId="16987C3A" w14:textId="77777777" w:rsidR="00B62481" w:rsidRPr="00B62481" w:rsidRDefault="00B62481" w:rsidP="00B62481">
      <w:pPr>
        <w:snapToGrid w:val="0"/>
        <w:ind w:firstLine="340"/>
        <w:rPr>
          <w:rFonts w:ascii="Arial" w:eastAsia="Arial Unicode MS" w:hAnsi="Arial"/>
          <w:snapToGrid w:val="0"/>
          <w:rtl/>
        </w:rPr>
      </w:pPr>
      <w:r w:rsidRPr="00B62481">
        <w:rPr>
          <w:rFonts w:ascii="Arial" w:eastAsia="Arial Unicode MS" w:hAnsi="Arial" w:hint="eastAsia"/>
          <w:snapToGrid w:val="0"/>
          <w:rtl/>
        </w:rPr>
        <w:t>כדי</w:t>
      </w:r>
      <w:r w:rsidRPr="00B62481">
        <w:rPr>
          <w:rFonts w:ascii="Arial" w:eastAsia="Arial Unicode MS" w:hAnsi="Arial" w:hint="cs"/>
          <w:snapToGrid w:val="0"/>
          <w:rtl/>
        </w:rPr>
        <w:t xml:space="preserve"> להקל </w:t>
      </w:r>
      <w:r w:rsidRPr="00B62481">
        <w:rPr>
          <w:rFonts w:ascii="Arial" w:eastAsia="Arial Unicode MS" w:hAnsi="Arial" w:hint="eastAsia"/>
          <w:snapToGrid w:val="0"/>
          <w:rtl/>
        </w:rPr>
        <w:t>על</w:t>
      </w:r>
      <w:r w:rsidRPr="00B62481">
        <w:rPr>
          <w:rFonts w:ascii="Arial" w:eastAsia="Arial Unicode MS" w:hAnsi="Arial" w:hint="cs"/>
          <w:snapToGrid w:val="0"/>
          <w:rtl/>
        </w:rPr>
        <w:t xml:space="preserve"> המבוטחים, מוצע לקבוע כי במהלך התקופה הקובעת </w:t>
      </w:r>
      <w:r w:rsidRPr="00B62481">
        <w:rPr>
          <w:rFonts w:ascii="Arial" w:eastAsia="Arial Unicode MS" w:hAnsi="Arial" w:hint="eastAsia"/>
          <w:snapToGrid w:val="0"/>
          <w:rtl/>
        </w:rPr>
        <w:t>לא</w:t>
      </w:r>
      <w:r w:rsidRPr="00B62481">
        <w:rPr>
          <w:rFonts w:ascii="Arial" w:eastAsia="Arial Unicode MS" w:hAnsi="Arial"/>
          <w:snapToGrid w:val="0"/>
          <w:rtl/>
        </w:rPr>
        <w:t xml:space="preserve"> </w:t>
      </w:r>
      <w:r w:rsidRPr="00B62481">
        <w:rPr>
          <w:rFonts w:ascii="Arial" w:eastAsia="Arial Unicode MS" w:hAnsi="Arial" w:hint="eastAsia"/>
          <w:snapToGrid w:val="0"/>
          <w:rtl/>
        </w:rPr>
        <w:t>יחולו</w:t>
      </w:r>
      <w:r w:rsidRPr="00B62481">
        <w:rPr>
          <w:rFonts w:ascii="Arial" w:eastAsia="Arial Unicode MS" w:hAnsi="Arial"/>
          <w:snapToGrid w:val="0"/>
          <w:rtl/>
        </w:rPr>
        <w:t xml:space="preserve"> </w:t>
      </w:r>
      <w:r w:rsidRPr="00B62481">
        <w:rPr>
          <w:rFonts w:ascii="Arial" w:eastAsia="Arial Unicode MS" w:hAnsi="Arial" w:hint="eastAsia"/>
          <w:snapToGrid w:val="0"/>
          <w:rtl/>
        </w:rPr>
        <w:t>הוראות</w:t>
      </w:r>
      <w:r w:rsidRPr="00B62481">
        <w:rPr>
          <w:rFonts w:ascii="Arial" w:eastAsia="Arial Unicode MS" w:hAnsi="Arial"/>
          <w:snapToGrid w:val="0"/>
          <w:rtl/>
        </w:rPr>
        <w:t xml:space="preserve"> </w:t>
      </w:r>
      <w:r w:rsidRPr="00B62481">
        <w:rPr>
          <w:rFonts w:ascii="Arial" w:eastAsia="Arial Unicode MS" w:hAnsi="Arial" w:hint="eastAsia"/>
          <w:snapToGrid w:val="0"/>
          <w:rtl/>
        </w:rPr>
        <w:t>סעיף</w:t>
      </w:r>
      <w:r w:rsidRPr="00B62481">
        <w:rPr>
          <w:rFonts w:ascii="Arial" w:eastAsia="Arial Unicode MS" w:hAnsi="Arial"/>
          <w:snapToGrid w:val="0"/>
          <w:rtl/>
        </w:rPr>
        <w:t xml:space="preserve"> 320(ז)(4ב) </w:t>
      </w:r>
      <w:r w:rsidRPr="00B62481">
        <w:rPr>
          <w:rFonts w:ascii="Arial" w:eastAsia="Arial Unicode MS" w:hAnsi="Arial" w:hint="eastAsia"/>
          <w:snapToGrid w:val="0"/>
          <w:rtl/>
        </w:rPr>
        <w:t>לחוק</w:t>
      </w:r>
      <w:r w:rsidRPr="00B62481">
        <w:rPr>
          <w:rFonts w:ascii="Arial" w:eastAsia="Arial Unicode MS" w:hAnsi="Arial"/>
          <w:snapToGrid w:val="0"/>
          <w:rtl/>
        </w:rPr>
        <w:t xml:space="preserve"> </w:t>
      </w:r>
      <w:r w:rsidRPr="00B62481">
        <w:rPr>
          <w:rFonts w:ascii="Arial" w:eastAsia="Arial Unicode MS" w:hAnsi="Arial" w:hint="eastAsia"/>
          <w:snapToGrid w:val="0"/>
          <w:rtl/>
        </w:rPr>
        <w:t>הביטוח</w:t>
      </w:r>
      <w:r w:rsidRPr="00B62481">
        <w:rPr>
          <w:rFonts w:ascii="Arial" w:eastAsia="Arial Unicode MS" w:hAnsi="Arial"/>
          <w:snapToGrid w:val="0"/>
          <w:rtl/>
        </w:rPr>
        <w:t xml:space="preserve"> </w:t>
      </w:r>
      <w:r w:rsidRPr="00B62481">
        <w:rPr>
          <w:rFonts w:ascii="Arial" w:eastAsia="Arial Unicode MS" w:hAnsi="Arial" w:hint="eastAsia"/>
          <w:snapToGrid w:val="0"/>
          <w:rtl/>
        </w:rPr>
        <w:t>הלאומי</w:t>
      </w:r>
      <w:r w:rsidRPr="00B62481">
        <w:rPr>
          <w:rFonts w:ascii="Arial" w:eastAsia="Arial Unicode MS" w:hAnsi="Arial"/>
          <w:snapToGrid w:val="0"/>
          <w:rtl/>
        </w:rPr>
        <w:t xml:space="preserve">, </w:t>
      </w:r>
      <w:r w:rsidRPr="00B62481">
        <w:rPr>
          <w:rFonts w:ascii="Arial" w:eastAsia="Arial Unicode MS" w:hAnsi="Arial" w:hint="eastAsia"/>
          <w:snapToGrid w:val="0"/>
          <w:rtl/>
        </w:rPr>
        <w:t>כך</w:t>
      </w:r>
      <w:r w:rsidRPr="00B62481">
        <w:rPr>
          <w:rFonts w:ascii="Arial" w:eastAsia="Arial Unicode MS" w:hAnsi="Arial"/>
          <w:snapToGrid w:val="0"/>
          <w:rtl/>
        </w:rPr>
        <w:t xml:space="preserve"> </w:t>
      </w:r>
      <w:r w:rsidRPr="00B62481">
        <w:rPr>
          <w:rFonts w:ascii="Arial" w:eastAsia="Arial Unicode MS" w:hAnsi="Arial" w:hint="eastAsia"/>
          <w:snapToGrid w:val="0"/>
          <w:rtl/>
        </w:rPr>
        <w:t>ש</w:t>
      </w:r>
      <w:r w:rsidRPr="00B62481">
        <w:rPr>
          <w:rFonts w:ascii="Arial" w:eastAsia="Arial Unicode MS" w:hAnsi="Arial" w:hint="cs"/>
          <w:snapToGrid w:val="0"/>
          <w:rtl/>
        </w:rPr>
        <w:t xml:space="preserve">ישולמו דמי אבטלה אף אם המבוטח זכאי במהלך תקופת הזכאות לימי חופשה, בין ששולם בעדם שכר ובין שלא שולם, וזאת </w:t>
      </w:r>
      <w:r w:rsidRPr="00B62481">
        <w:rPr>
          <w:rFonts w:ascii="Arial" w:eastAsia="Arial Unicode MS" w:hAnsi="Arial" w:hint="eastAsia"/>
          <w:snapToGrid w:val="0"/>
          <w:rtl/>
        </w:rPr>
        <w:t>בשונה</w:t>
      </w:r>
      <w:r w:rsidRPr="00B62481">
        <w:rPr>
          <w:rFonts w:ascii="Arial" w:eastAsia="Arial Unicode MS" w:hAnsi="Arial"/>
          <w:snapToGrid w:val="0"/>
          <w:rtl/>
        </w:rPr>
        <w:t xml:space="preserve"> </w:t>
      </w:r>
      <w:r w:rsidRPr="00B62481">
        <w:rPr>
          <w:rFonts w:ascii="Arial" w:eastAsia="Arial Unicode MS" w:hAnsi="Arial" w:hint="eastAsia"/>
          <w:snapToGrid w:val="0"/>
          <w:rtl/>
        </w:rPr>
        <w:t>מההסדר</w:t>
      </w:r>
      <w:r w:rsidRPr="00B62481">
        <w:rPr>
          <w:rFonts w:ascii="Arial" w:eastAsia="Arial Unicode MS" w:hAnsi="Arial"/>
          <w:snapToGrid w:val="0"/>
          <w:rtl/>
        </w:rPr>
        <w:t xml:space="preserve"> </w:t>
      </w:r>
      <w:r w:rsidRPr="00B62481">
        <w:rPr>
          <w:rFonts w:ascii="Arial" w:eastAsia="Arial Unicode MS" w:hAnsi="Arial" w:hint="eastAsia"/>
          <w:snapToGrid w:val="0"/>
          <w:rtl/>
        </w:rPr>
        <w:t>הקבוע</w:t>
      </w:r>
      <w:r w:rsidRPr="00B62481">
        <w:rPr>
          <w:rFonts w:ascii="Arial" w:eastAsia="Arial Unicode MS" w:hAnsi="Arial"/>
          <w:snapToGrid w:val="0"/>
          <w:rtl/>
        </w:rPr>
        <w:t xml:space="preserve"> </w:t>
      </w:r>
      <w:r w:rsidRPr="00B62481">
        <w:rPr>
          <w:rFonts w:ascii="Arial" w:eastAsia="Arial Unicode MS" w:hAnsi="Arial" w:hint="eastAsia"/>
          <w:snapToGrid w:val="0"/>
          <w:rtl/>
        </w:rPr>
        <w:t>כיום</w:t>
      </w:r>
      <w:r w:rsidRPr="00B62481">
        <w:rPr>
          <w:rFonts w:ascii="Arial" w:eastAsia="Arial Unicode MS" w:hAnsi="Arial"/>
          <w:snapToGrid w:val="0"/>
          <w:rtl/>
        </w:rPr>
        <w:t xml:space="preserve"> </w:t>
      </w:r>
      <w:r w:rsidRPr="00B62481">
        <w:rPr>
          <w:rFonts w:ascii="Arial" w:eastAsia="Arial Unicode MS" w:hAnsi="Arial" w:hint="eastAsia"/>
          <w:snapToGrid w:val="0"/>
          <w:rtl/>
        </w:rPr>
        <w:t>לעניין</w:t>
      </w:r>
      <w:r w:rsidRPr="00B62481">
        <w:rPr>
          <w:rFonts w:ascii="Arial" w:eastAsia="Arial Unicode MS" w:hAnsi="Arial"/>
          <w:snapToGrid w:val="0"/>
          <w:rtl/>
        </w:rPr>
        <w:t xml:space="preserve"> </w:t>
      </w:r>
      <w:r w:rsidRPr="00B62481">
        <w:rPr>
          <w:rFonts w:ascii="Arial" w:eastAsia="Arial Unicode MS" w:hAnsi="Arial" w:hint="eastAsia"/>
          <w:snapToGrid w:val="0"/>
          <w:rtl/>
        </w:rPr>
        <w:t>זה</w:t>
      </w:r>
      <w:r w:rsidRPr="00B62481">
        <w:rPr>
          <w:rFonts w:ascii="Arial" w:eastAsia="Arial Unicode MS" w:hAnsi="Arial"/>
          <w:snapToGrid w:val="0"/>
          <w:rtl/>
        </w:rPr>
        <w:t xml:space="preserve"> </w:t>
      </w:r>
      <w:r w:rsidRPr="00B62481">
        <w:rPr>
          <w:rFonts w:ascii="Arial" w:eastAsia="Arial Unicode MS" w:hAnsi="Arial" w:hint="eastAsia"/>
          <w:snapToGrid w:val="0"/>
          <w:rtl/>
        </w:rPr>
        <w:t>בחוק</w:t>
      </w:r>
      <w:r w:rsidRPr="00B62481">
        <w:rPr>
          <w:rFonts w:ascii="Arial" w:eastAsia="Arial Unicode MS" w:hAnsi="Arial"/>
          <w:snapToGrid w:val="0"/>
          <w:rtl/>
        </w:rPr>
        <w:t xml:space="preserve"> </w:t>
      </w:r>
      <w:r w:rsidRPr="00B62481">
        <w:rPr>
          <w:rFonts w:ascii="Arial" w:eastAsia="Arial Unicode MS" w:hAnsi="Arial" w:hint="eastAsia"/>
          <w:snapToGrid w:val="0"/>
          <w:rtl/>
        </w:rPr>
        <w:t>הביטוח</w:t>
      </w:r>
      <w:r w:rsidRPr="00B62481">
        <w:rPr>
          <w:rFonts w:ascii="Arial" w:eastAsia="Arial Unicode MS" w:hAnsi="Arial"/>
          <w:snapToGrid w:val="0"/>
          <w:rtl/>
        </w:rPr>
        <w:t xml:space="preserve"> </w:t>
      </w:r>
      <w:r w:rsidRPr="00B62481">
        <w:rPr>
          <w:rFonts w:ascii="Arial" w:eastAsia="Arial Unicode MS" w:hAnsi="Arial" w:hint="eastAsia"/>
          <w:snapToGrid w:val="0"/>
          <w:rtl/>
        </w:rPr>
        <w:t>הלאומי</w:t>
      </w:r>
      <w:r w:rsidRPr="00B62481">
        <w:rPr>
          <w:rFonts w:ascii="Arial" w:eastAsia="Arial Unicode MS" w:hAnsi="Arial" w:hint="cs"/>
          <w:snapToGrid w:val="0"/>
          <w:rtl/>
        </w:rPr>
        <w:t>.</w:t>
      </w:r>
    </w:p>
    <w:p w14:paraId="03351A86" w14:textId="77777777" w:rsidR="004E4189" w:rsidRPr="001F79FC" w:rsidRDefault="004E4189" w:rsidP="004E4189">
      <w:pPr>
        <w:pStyle w:val="a5"/>
        <w:rPr>
          <w:rtl/>
        </w:rPr>
      </w:pPr>
    </w:p>
    <w:p w14:paraId="27474206" w14:textId="2C6B0459" w:rsidR="004E4189" w:rsidRPr="001F79FC" w:rsidRDefault="004E4189" w:rsidP="004E4189">
      <w:pPr>
        <w:rPr>
          <w:b/>
          <w:bCs/>
          <w:rtl/>
        </w:rPr>
      </w:pPr>
      <w:r w:rsidRPr="001F79FC">
        <w:rPr>
          <w:rFonts w:hint="eastAsia"/>
          <w:b/>
          <w:bCs/>
          <w:rtl/>
        </w:rPr>
        <w:t>סעיף</w:t>
      </w:r>
      <w:r w:rsidRPr="001F79FC">
        <w:rPr>
          <w:b/>
          <w:bCs/>
          <w:rtl/>
        </w:rPr>
        <w:t xml:space="preserve"> </w:t>
      </w:r>
      <w:r w:rsidR="00B06C6E">
        <w:rPr>
          <w:rFonts w:hint="cs"/>
          <w:b/>
          <w:bCs/>
          <w:rtl/>
        </w:rPr>
        <w:t>2</w:t>
      </w:r>
    </w:p>
    <w:p w14:paraId="296A43CE" w14:textId="06023BDF" w:rsidR="004E4189" w:rsidRDefault="00B62481" w:rsidP="004E4189">
      <w:pPr>
        <w:rPr>
          <w:rtl/>
        </w:rPr>
      </w:pPr>
      <w:r w:rsidRPr="00376EEC">
        <w:rPr>
          <w:rFonts w:hint="cs"/>
          <w:rtl/>
        </w:rPr>
        <w:t xml:space="preserve">מוצע לקבוע כי אוצר המדינה ישפה את המוסד לביטוח לאומי בשל ההוצאות הנובעות מהתיקון המוצע. יצוין כי ההסדר המוצע דומה בעיקרו להסדר שנקבע בסעיף </w:t>
      </w:r>
      <w:r>
        <w:rPr>
          <w:rFonts w:hint="cs"/>
          <w:rtl/>
        </w:rPr>
        <w:t>5 ל</w:t>
      </w:r>
      <w:r w:rsidRPr="00376EEC">
        <w:rPr>
          <w:rFonts w:hint="cs"/>
          <w:rtl/>
        </w:rPr>
        <w:t xml:space="preserve">חוק הסיוע הכלכלי </w:t>
      </w:r>
      <w:r>
        <w:rPr>
          <w:rFonts w:hint="cs"/>
          <w:rtl/>
        </w:rPr>
        <w:t>2025.</w:t>
      </w:r>
    </w:p>
    <w:p w14:paraId="1EBF8EFD" w14:textId="77777777" w:rsidR="00B62481" w:rsidRPr="001F79FC" w:rsidRDefault="00B62481" w:rsidP="004E4189">
      <w:pPr>
        <w:rPr>
          <w:rtl/>
        </w:rPr>
      </w:pPr>
    </w:p>
    <w:p w14:paraId="6CB7FC0B" w14:textId="324139B9" w:rsidR="004E4189" w:rsidRDefault="004E4189" w:rsidP="004E4189">
      <w:pPr>
        <w:rPr>
          <w:b/>
          <w:bCs/>
          <w:rtl/>
        </w:rPr>
      </w:pPr>
      <w:r w:rsidRPr="001F79FC">
        <w:rPr>
          <w:rFonts w:hint="eastAsia"/>
          <w:b/>
          <w:bCs/>
          <w:rtl/>
        </w:rPr>
        <w:t>סעיף</w:t>
      </w:r>
      <w:r w:rsidRPr="001F79FC">
        <w:rPr>
          <w:b/>
          <w:bCs/>
          <w:rtl/>
        </w:rPr>
        <w:t xml:space="preserve"> </w:t>
      </w:r>
      <w:r w:rsidR="00B06C6E">
        <w:rPr>
          <w:rFonts w:hint="cs"/>
          <w:b/>
          <w:bCs/>
          <w:rtl/>
        </w:rPr>
        <w:t>3</w:t>
      </w:r>
    </w:p>
    <w:p w14:paraId="680CB196" w14:textId="5F9666D4" w:rsidR="00B62481" w:rsidRPr="00B62481" w:rsidRDefault="00B62481" w:rsidP="00B62481">
      <w:pPr>
        <w:rPr>
          <w:rtl/>
        </w:rPr>
      </w:pPr>
      <w:r w:rsidRPr="00B62481">
        <w:rPr>
          <w:rtl/>
        </w:rPr>
        <w:t xml:space="preserve">לפי חוק הביטוח הלאומי, מדמי אבטלה של מבוטח שהוא עובד שכיר ועובד עצמאי מנוכה הכנסתו כעצמאי, כאשר הכנסתו כעצמאי מחושבת לפי ההכנסה השנתית לחלק ל-12. בעניין זה, בחוק הסיוע הכלכלי 2025 נקבע כי זכאי לדמי אבטלה שיש לו גם הכנסה מעבודה כעובד עצמאי, יוכל להגיש אישור מגורם מוסמך – רואה חשבון או יועץ מס, על גובה הכנסתו כעצמאי בתקופה הקובעת, לעניין הניכוי מדמי אבטלה בתקופה הקובעת. </w:t>
      </w:r>
    </w:p>
    <w:p w14:paraId="28E7F8D5" w14:textId="11E64411" w:rsidR="00B62481" w:rsidRDefault="00B62481" w:rsidP="00B62481">
      <w:pPr>
        <w:rPr>
          <w:b/>
          <w:bCs/>
          <w:rtl/>
        </w:rPr>
      </w:pPr>
      <w:r w:rsidRPr="00B62481">
        <w:rPr>
          <w:rtl/>
        </w:rPr>
        <w:t xml:space="preserve">מוצע לתקן את חוק הביטוח הלאומי – הוראת שעה, תיקון מס' 259 ולהאריך את הוראת השעה המתייחסת לתקופה שבה יקרא סעיף זה כפי שנקבע במסגרת חוק הסיוע בכלכלי 2025 כך שבמקום עד ליום ט"ו בסיוון </w:t>
      </w:r>
      <w:proofErr w:type="spellStart"/>
      <w:r w:rsidRPr="00B62481">
        <w:rPr>
          <w:rtl/>
        </w:rPr>
        <w:t>התשפ</w:t>
      </w:r>
      <w:proofErr w:type="spellEnd"/>
      <w:r w:rsidRPr="00B62481">
        <w:rPr>
          <w:rtl/>
        </w:rPr>
        <w:t xml:space="preserve">"ו (31 במאי 2026) עד ליום כ"א באדר </w:t>
      </w:r>
      <w:proofErr w:type="spellStart"/>
      <w:r w:rsidRPr="00B62481">
        <w:rPr>
          <w:rtl/>
        </w:rPr>
        <w:t>התשפ</w:t>
      </w:r>
      <w:proofErr w:type="spellEnd"/>
      <w:r w:rsidRPr="00B62481">
        <w:rPr>
          <w:rtl/>
        </w:rPr>
        <w:t>"ז (28 בפברואר 2027).</w:t>
      </w:r>
    </w:p>
    <w:p w14:paraId="49CE0C3A" w14:textId="00B7F4ED" w:rsidR="00B62481" w:rsidRDefault="00B62481" w:rsidP="00B62481">
      <w:pPr>
        <w:rPr>
          <w:b/>
          <w:bCs/>
          <w:rtl/>
        </w:rPr>
      </w:pPr>
    </w:p>
    <w:p w14:paraId="2C3BD222" w14:textId="1DE0D476" w:rsidR="00B62481" w:rsidRDefault="00B62481" w:rsidP="00B62481">
      <w:pPr>
        <w:rPr>
          <w:b/>
          <w:bCs/>
          <w:rtl/>
        </w:rPr>
      </w:pPr>
      <w:r>
        <w:rPr>
          <w:rFonts w:hint="cs"/>
          <w:b/>
          <w:bCs/>
          <w:rtl/>
        </w:rPr>
        <w:t xml:space="preserve">סעיף </w:t>
      </w:r>
      <w:r w:rsidR="00B06C6E">
        <w:rPr>
          <w:rFonts w:hint="cs"/>
          <w:b/>
          <w:bCs/>
          <w:rtl/>
        </w:rPr>
        <w:t>4</w:t>
      </w:r>
    </w:p>
    <w:p w14:paraId="1100D559" w14:textId="2466A645" w:rsidR="00B62481" w:rsidRPr="00B62481" w:rsidRDefault="00B62481" w:rsidP="00B62481">
      <w:pPr>
        <w:tabs>
          <w:tab w:val="left" w:pos="1020"/>
        </w:tabs>
        <w:snapToGrid w:val="0"/>
        <w:rPr>
          <w:rFonts w:ascii="Arial" w:eastAsia="Arial Unicode MS" w:hAnsi="Arial"/>
          <w:snapToGrid w:val="0"/>
          <w:rtl/>
        </w:rPr>
      </w:pPr>
      <w:r>
        <w:rPr>
          <w:rFonts w:ascii="Arial" w:eastAsia="Arial Unicode MS" w:hAnsi="Arial" w:hint="cs"/>
          <w:snapToGrid w:val="0"/>
          <w:rtl/>
        </w:rPr>
        <w:t xml:space="preserve"> </w:t>
      </w:r>
      <w:r w:rsidRPr="00B62481">
        <w:rPr>
          <w:rFonts w:ascii="Arial" w:eastAsia="Arial Unicode MS" w:hAnsi="Arial" w:hint="eastAsia"/>
          <w:b/>
          <w:bCs/>
          <w:snapToGrid w:val="0"/>
          <w:rtl/>
        </w:rPr>
        <w:t>כללי</w:t>
      </w:r>
    </w:p>
    <w:p w14:paraId="68057F60" w14:textId="77777777" w:rsidR="00B62481" w:rsidRPr="00B62481" w:rsidRDefault="00B62481" w:rsidP="00B62481">
      <w:pPr>
        <w:snapToGrid w:val="0"/>
        <w:rPr>
          <w:rFonts w:ascii="Arial" w:eastAsia="Arial Unicode MS" w:hAnsi="Arial"/>
          <w:snapToGrid w:val="0"/>
          <w:rtl/>
        </w:rPr>
      </w:pPr>
      <w:r w:rsidRPr="00B62481">
        <w:rPr>
          <w:rFonts w:ascii="Arial" w:eastAsia="Arial Unicode MS" w:hAnsi="Arial" w:hint="cs"/>
          <w:snapToGrid w:val="0"/>
          <w:rtl/>
        </w:rPr>
        <w:t xml:space="preserve">בדומה לסיוע שניתן למי שמלאו להם 67 שנים ומעלה שעבודתם הופסקה בתקופת מבצע "עם כלביא", מוצע כעת הסדר זהה לתקופת הוראת השעה של מבצע "שאגת הארי" כך שלמי שמלאו להם 67 שנים ומעלה שעבודתם הופסקה בתקופה הקובעת עקב מבצע "שאגת הארי" ואשר אינם זכאים לדמי אבטלה לפי חוק הביטוח הלאומי, מפאת גילם, מוצע לתקן את </w:t>
      </w:r>
      <w:r w:rsidRPr="00B62481">
        <w:rPr>
          <w:rFonts w:ascii="Arial" w:eastAsia="Arial Unicode MS" w:hAnsi="Arial"/>
          <w:snapToGrid w:val="0"/>
          <w:rtl/>
        </w:rPr>
        <w:t>חוק מענק מיוחד לבני 67 ומעלה (הוראת שעה – מקרים מיוחדים), התש״ף–2020</w:t>
      </w:r>
      <w:r w:rsidRPr="00B62481">
        <w:rPr>
          <w:rFonts w:ascii="Arial" w:eastAsia="Arial Unicode MS" w:hAnsi="Arial" w:hint="cs"/>
          <w:snapToGrid w:val="0"/>
          <w:rtl/>
        </w:rPr>
        <w:t xml:space="preserve"> (להלן </w:t>
      </w:r>
      <w:r w:rsidRPr="00B62481">
        <w:rPr>
          <w:rFonts w:ascii="Arial" w:eastAsia="Arial Unicode MS" w:hAnsi="Arial"/>
          <w:snapToGrid w:val="0"/>
          <w:rtl/>
        </w:rPr>
        <w:t>–</w:t>
      </w:r>
      <w:r w:rsidRPr="00B62481">
        <w:rPr>
          <w:rFonts w:ascii="Arial" w:eastAsia="Arial Unicode MS" w:hAnsi="Arial" w:hint="cs"/>
          <w:snapToGrid w:val="0"/>
          <w:rtl/>
        </w:rPr>
        <w:t xml:space="preserve"> חוק מענק מיוחד) וזאת בדומה להסדר שנקבע בסעיף 7 לחוק הסיוע הכלכלי 2025. </w:t>
      </w:r>
    </w:p>
    <w:p w14:paraId="35F4655F" w14:textId="77777777" w:rsidR="00B62481" w:rsidRPr="00B62481" w:rsidRDefault="00B62481" w:rsidP="00B62481">
      <w:pPr>
        <w:tabs>
          <w:tab w:val="left" w:pos="1020"/>
        </w:tabs>
        <w:snapToGrid w:val="0"/>
        <w:rPr>
          <w:rFonts w:ascii="Arial" w:eastAsia="Arial Unicode MS" w:hAnsi="Arial"/>
          <w:b/>
          <w:bCs/>
          <w:snapToGrid w:val="0"/>
          <w:rtl/>
        </w:rPr>
      </w:pPr>
      <w:r w:rsidRPr="00B62481">
        <w:rPr>
          <w:rFonts w:ascii="Arial" w:eastAsia="Arial Unicode MS" w:hAnsi="Arial" w:hint="eastAsia"/>
          <w:b/>
          <w:bCs/>
          <w:snapToGrid w:val="0"/>
          <w:rtl/>
        </w:rPr>
        <w:t>לפסקאות</w:t>
      </w:r>
      <w:r w:rsidRPr="00B62481">
        <w:rPr>
          <w:rFonts w:ascii="Arial" w:eastAsia="Arial Unicode MS" w:hAnsi="Arial"/>
          <w:b/>
          <w:bCs/>
          <w:snapToGrid w:val="0"/>
          <w:rtl/>
        </w:rPr>
        <w:t xml:space="preserve"> (1) </w:t>
      </w:r>
      <w:r w:rsidRPr="00B62481">
        <w:rPr>
          <w:rFonts w:ascii="Arial" w:eastAsia="Arial Unicode MS" w:hAnsi="Arial" w:hint="eastAsia"/>
          <w:b/>
          <w:bCs/>
          <w:snapToGrid w:val="0"/>
          <w:rtl/>
        </w:rPr>
        <w:t>עד</w:t>
      </w:r>
      <w:r w:rsidRPr="00B62481">
        <w:rPr>
          <w:rFonts w:ascii="Arial" w:eastAsia="Arial Unicode MS" w:hAnsi="Arial"/>
          <w:b/>
          <w:bCs/>
          <w:snapToGrid w:val="0"/>
          <w:rtl/>
        </w:rPr>
        <w:t xml:space="preserve"> (5) </w:t>
      </w:r>
    </w:p>
    <w:p w14:paraId="3D1DC3FA" w14:textId="77777777" w:rsidR="00B62481" w:rsidRDefault="00B62481" w:rsidP="00B62481">
      <w:pPr>
        <w:snapToGrid w:val="0"/>
        <w:rPr>
          <w:rFonts w:ascii="Arial" w:eastAsia="Arial Unicode MS" w:hAnsi="Arial"/>
          <w:snapToGrid w:val="0"/>
          <w:rtl/>
        </w:rPr>
      </w:pPr>
      <w:r w:rsidRPr="00B62481">
        <w:rPr>
          <w:rFonts w:ascii="Arial" w:eastAsia="Arial Unicode MS" w:hAnsi="Arial" w:hint="eastAsia"/>
          <w:snapToGrid w:val="0"/>
          <w:rtl/>
        </w:rPr>
        <w:t>לאור</w:t>
      </w:r>
      <w:r w:rsidRPr="00B62481">
        <w:rPr>
          <w:rFonts w:ascii="Arial" w:eastAsia="Arial Unicode MS" w:hAnsi="Arial"/>
          <w:snapToGrid w:val="0"/>
          <w:rtl/>
        </w:rPr>
        <w:t xml:space="preserve"> הוספת ההסדר המוצע בהצעת חוק זו </w:t>
      </w:r>
      <w:r w:rsidRPr="00B62481">
        <w:rPr>
          <w:rFonts w:ascii="Arial" w:eastAsia="Arial Unicode MS" w:hAnsi="Arial" w:hint="eastAsia"/>
          <w:snapToGrid w:val="0"/>
          <w:rtl/>
        </w:rPr>
        <w:t>בפרק</w:t>
      </w:r>
      <w:r w:rsidRPr="00B62481">
        <w:rPr>
          <w:rFonts w:ascii="Arial" w:eastAsia="Arial Unicode MS" w:hAnsi="Arial"/>
          <w:snapToGrid w:val="0"/>
          <w:rtl/>
        </w:rPr>
        <w:t xml:space="preserve"> ג' </w:t>
      </w:r>
      <w:r w:rsidRPr="00B62481">
        <w:rPr>
          <w:rFonts w:ascii="Arial" w:eastAsia="Arial Unicode MS" w:hAnsi="Arial" w:hint="eastAsia"/>
          <w:snapToGrid w:val="0"/>
          <w:rtl/>
        </w:rPr>
        <w:t>לחוק</w:t>
      </w:r>
      <w:r w:rsidRPr="00B62481">
        <w:rPr>
          <w:rFonts w:ascii="Arial" w:eastAsia="Arial Unicode MS" w:hAnsi="Arial"/>
          <w:snapToGrid w:val="0"/>
          <w:rtl/>
        </w:rPr>
        <w:t xml:space="preserve"> מענק מיוחד </w:t>
      </w:r>
      <w:r w:rsidRPr="00B62481">
        <w:rPr>
          <w:rFonts w:ascii="Arial" w:eastAsia="Arial Unicode MS" w:hAnsi="Arial" w:hint="eastAsia"/>
          <w:snapToGrid w:val="0"/>
          <w:rtl/>
        </w:rPr>
        <w:t>מוצע</w:t>
      </w:r>
      <w:r w:rsidRPr="00B62481">
        <w:rPr>
          <w:rFonts w:ascii="Arial" w:eastAsia="Arial Unicode MS" w:hAnsi="Arial"/>
          <w:snapToGrid w:val="0"/>
          <w:rtl/>
        </w:rPr>
        <w:t xml:space="preserve"> </w:t>
      </w:r>
      <w:r w:rsidRPr="00B62481">
        <w:rPr>
          <w:rFonts w:ascii="Arial" w:eastAsia="Arial Unicode MS" w:hAnsi="Arial" w:hint="eastAsia"/>
          <w:snapToGrid w:val="0"/>
          <w:rtl/>
        </w:rPr>
        <w:t>לתקן</w:t>
      </w:r>
      <w:r w:rsidRPr="00B62481">
        <w:rPr>
          <w:rFonts w:ascii="Arial" w:eastAsia="Arial Unicode MS" w:hAnsi="Arial"/>
          <w:snapToGrid w:val="0"/>
          <w:rtl/>
        </w:rPr>
        <w:t xml:space="preserve"> את </w:t>
      </w:r>
      <w:r w:rsidRPr="00B62481">
        <w:rPr>
          <w:rFonts w:ascii="Arial" w:eastAsia="Arial Unicode MS" w:hAnsi="Arial" w:hint="cs"/>
          <w:snapToGrid w:val="0"/>
          <w:rtl/>
        </w:rPr>
        <w:t xml:space="preserve">כותרת </w:t>
      </w:r>
      <w:r w:rsidRPr="00B62481">
        <w:rPr>
          <w:rFonts w:ascii="Arial" w:eastAsia="Arial Unicode MS" w:hAnsi="Arial" w:hint="eastAsia"/>
          <w:snapToGrid w:val="0"/>
          <w:rtl/>
        </w:rPr>
        <w:t>הפרק</w:t>
      </w:r>
      <w:r w:rsidRPr="00B62481">
        <w:rPr>
          <w:rFonts w:ascii="Arial" w:eastAsia="Arial Unicode MS" w:hAnsi="Arial"/>
          <w:snapToGrid w:val="0"/>
          <w:rtl/>
        </w:rPr>
        <w:t xml:space="preserve"> </w:t>
      </w:r>
      <w:r w:rsidRPr="00B62481">
        <w:rPr>
          <w:rFonts w:ascii="Arial" w:eastAsia="Arial Unicode MS" w:hAnsi="Arial" w:hint="eastAsia"/>
          <w:snapToGrid w:val="0"/>
          <w:rtl/>
        </w:rPr>
        <w:t>האמור</w:t>
      </w:r>
      <w:r w:rsidRPr="00B62481">
        <w:rPr>
          <w:rFonts w:ascii="Arial" w:eastAsia="Arial Unicode MS" w:hAnsi="Arial"/>
          <w:snapToGrid w:val="0"/>
          <w:rtl/>
        </w:rPr>
        <w:t xml:space="preserve"> </w:t>
      </w:r>
      <w:r w:rsidRPr="00B62481">
        <w:rPr>
          <w:rFonts w:ascii="Arial" w:eastAsia="Arial Unicode MS" w:hAnsi="Arial" w:hint="cs"/>
          <w:snapToGrid w:val="0"/>
          <w:rtl/>
        </w:rPr>
        <w:t xml:space="preserve">כך שבמקום שכותרתו תהיה "מענק מיוחד </w:t>
      </w:r>
      <w:r w:rsidRPr="00B62481">
        <w:rPr>
          <w:rFonts w:ascii="Arial" w:eastAsia="Arial Unicode MS" w:hAnsi="Arial"/>
          <w:snapToGrid w:val="0"/>
          <w:rtl/>
        </w:rPr>
        <w:t>–</w:t>
      </w:r>
      <w:r w:rsidRPr="00B62481">
        <w:rPr>
          <w:rFonts w:ascii="Arial" w:eastAsia="Arial Unicode MS" w:hAnsi="Arial" w:hint="cs"/>
          <w:snapToGrid w:val="0"/>
          <w:rtl/>
        </w:rPr>
        <w:t xml:space="preserve"> חרבות ברזל" הוא יקרא "מענק מיוחד </w:t>
      </w:r>
      <w:r w:rsidRPr="00B62481">
        <w:rPr>
          <w:rFonts w:ascii="Arial" w:eastAsia="Arial Unicode MS" w:hAnsi="Arial"/>
          <w:snapToGrid w:val="0"/>
          <w:rtl/>
        </w:rPr>
        <w:t>–</w:t>
      </w:r>
      <w:r w:rsidRPr="00B62481">
        <w:rPr>
          <w:rFonts w:ascii="Arial" w:eastAsia="Arial Unicode MS" w:hAnsi="Arial" w:hint="cs"/>
          <w:snapToGrid w:val="0"/>
          <w:rtl/>
        </w:rPr>
        <w:t xml:space="preserve"> מלחמות ישראל". </w:t>
      </w:r>
      <w:r w:rsidRPr="00B62481">
        <w:rPr>
          <w:rFonts w:ascii="Arial" w:eastAsia="Arial Unicode MS" w:hAnsi="Arial" w:hint="eastAsia"/>
          <w:snapToGrid w:val="0"/>
          <w:rtl/>
        </w:rPr>
        <w:t>לפי</w:t>
      </w:r>
      <w:r w:rsidRPr="00B62481">
        <w:rPr>
          <w:rFonts w:ascii="Arial" w:eastAsia="Arial Unicode MS" w:hAnsi="Arial"/>
          <w:snapToGrid w:val="0"/>
          <w:rtl/>
        </w:rPr>
        <w:t xml:space="preserve"> המוצע </w:t>
      </w:r>
      <w:r w:rsidRPr="00B62481">
        <w:rPr>
          <w:rFonts w:ascii="Arial" w:eastAsia="Arial Unicode MS" w:hAnsi="Arial" w:hint="cs"/>
          <w:snapToGrid w:val="0"/>
          <w:rtl/>
        </w:rPr>
        <w:t>ב</w:t>
      </w:r>
      <w:r w:rsidRPr="00B62481">
        <w:rPr>
          <w:rFonts w:ascii="Arial" w:eastAsia="Arial Unicode MS" w:hAnsi="Arial" w:hint="eastAsia"/>
          <w:snapToGrid w:val="0"/>
          <w:rtl/>
        </w:rPr>
        <w:t>סימן</w:t>
      </w:r>
      <w:r w:rsidRPr="00B62481">
        <w:rPr>
          <w:rFonts w:ascii="Arial" w:eastAsia="Arial Unicode MS" w:hAnsi="Arial"/>
          <w:snapToGrid w:val="0"/>
          <w:rtl/>
        </w:rPr>
        <w:t xml:space="preserve"> </w:t>
      </w:r>
      <w:r w:rsidRPr="00B62481">
        <w:rPr>
          <w:rFonts w:ascii="Arial" w:eastAsia="Arial Unicode MS" w:hAnsi="Arial" w:hint="eastAsia"/>
          <w:snapToGrid w:val="0"/>
          <w:rtl/>
        </w:rPr>
        <w:t>א</w:t>
      </w:r>
      <w:r w:rsidRPr="00B62481">
        <w:rPr>
          <w:rFonts w:ascii="Arial" w:eastAsia="Arial Unicode MS" w:hAnsi="Arial"/>
          <w:snapToGrid w:val="0"/>
          <w:rtl/>
        </w:rPr>
        <w:t xml:space="preserve">' </w:t>
      </w:r>
      <w:r w:rsidRPr="00B62481">
        <w:rPr>
          <w:rFonts w:ascii="Arial" w:eastAsia="Arial Unicode MS" w:hAnsi="Arial" w:hint="cs"/>
          <w:snapToGrid w:val="0"/>
          <w:rtl/>
        </w:rPr>
        <w:t>ש</w:t>
      </w:r>
      <w:r w:rsidRPr="00B62481">
        <w:rPr>
          <w:rFonts w:ascii="Arial" w:eastAsia="Arial Unicode MS" w:hAnsi="Arial"/>
          <w:snapToGrid w:val="0"/>
          <w:rtl/>
        </w:rPr>
        <w:t xml:space="preserve">עניינו הגדרות, </w:t>
      </w:r>
      <w:r w:rsidRPr="00B62481">
        <w:rPr>
          <w:rFonts w:ascii="Arial" w:eastAsia="Arial Unicode MS" w:hAnsi="Arial" w:hint="cs"/>
          <w:snapToGrid w:val="0"/>
          <w:rtl/>
        </w:rPr>
        <w:t xml:space="preserve">"התקופה הקובעת הנוספת" תיקרא מעתה ובכל מקום "התקופה הקובעת </w:t>
      </w:r>
      <w:r w:rsidRPr="00B62481">
        <w:rPr>
          <w:rFonts w:ascii="Arial" w:eastAsia="Arial Unicode MS" w:hAnsi="Arial"/>
          <w:snapToGrid w:val="0"/>
          <w:rtl/>
        </w:rPr>
        <w:t>–</w:t>
      </w:r>
      <w:r w:rsidRPr="00B62481">
        <w:rPr>
          <w:rFonts w:ascii="Arial" w:eastAsia="Arial Unicode MS" w:hAnsi="Arial" w:hint="cs"/>
          <w:snapToGrid w:val="0"/>
          <w:rtl/>
        </w:rPr>
        <w:t xml:space="preserve"> עם כלביא" וסימן ג' יקרא מעתה "התקופה הקובעת </w:t>
      </w:r>
      <w:r w:rsidRPr="00B62481">
        <w:rPr>
          <w:rFonts w:ascii="Arial" w:eastAsia="Arial Unicode MS" w:hAnsi="Arial"/>
          <w:snapToGrid w:val="0"/>
          <w:rtl/>
        </w:rPr>
        <w:t>–</w:t>
      </w:r>
      <w:r w:rsidRPr="00B62481">
        <w:rPr>
          <w:rFonts w:ascii="Arial" w:eastAsia="Arial Unicode MS" w:hAnsi="Arial" w:hint="cs"/>
          <w:snapToGrid w:val="0"/>
          <w:rtl/>
        </w:rPr>
        <w:t xml:space="preserve"> עם כלביא" </w:t>
      </w:r>
    </w:p>
    <w:p w14:paraId="1FAC793D" w14:textId="686D1DD1" w:rsidR="00B62481" w:rsidRPr="00B62481" w:rsidRDefault="00B62481" w:rsidP="00B62481">
      <w:pPr>
        <w:snapToGrid w:val="0"/>
        <w:rPr>
          <w:rFonts w:ascii="Arial" w:eastAsia="Arial Unicode MS" w:hAnsi="Arial"/>
          <w:snapToGrid w:val="0"/>
          <w:rtl/>
        </w:rPr>
      </w:pPr>
      <w:r w:rsidRPr="00B62481">
        <w:rPr>
          <w:rFonts w:ascii="Arial" w:eastAsia="Arial Unicode MS" w:hAnsi="Arial" w:hint="eastAsia"/>
          <w:b/>
          <w:bCs/>
          <w:snapToGrid w:val="0"/>
          <w:rtl/>
        </w:rPr>
        <w:t>לפסקה</w:t>
      </w:r>
      <w:r w:rsidRPr="00B62481">
        <w:rPr>
          <w:rFonts w:ascii="Arial" w:eastAsia="Arial Unicode MS" w:hAnsi="Arial"/>
          <w:b/>
          <w:bCs/>
          <w:snapToGrid w:val="0"/>
          <w:rtl/>
        </w:rPr>
        <w:t xml:space="preserve"> (6)  </w:t>
      </w:r>
    </w:p>
    <w:p w14:paraId="36B3EE81" w14:textId="77777777" w:rsidR="00B62481" w:rsidRPr="00B62481" w:rsidRDefault="00B62481" w:rsidP="00B62481">
      <w:pPr>
        <w:snapToGrid w:val="0"/>
        <w:rPr>
          <w:rFonts w:ascii="Arial" w:eastAsia="Arial Unicode MS" w:hAnsi="Arial"/>
          <w:snapToGrid w:val="0"/>
          <w:rtl/>
        </w:rPr>
      </w:pPr>
      <w:r w:rsidRPr="00B62481">
        <w:rPr>
          <w:rFonts w:ascii="Arial" w:eastAsia="Arial Unicode MS" w:hAnsi="Arial" w:hint="cs"/>
          <w:snapToGrid w:val="0"/>
          <w:rtl/>
        </w:rPr>
        <w:t xml:space="preserve">מוצע לקבוע, כאמור לעיל, בפרק ג' את סימן ד' שעניינו מענק מיוחד לתקופה הקובעת </w:t>
      </w:r>
      <w:r w:rsidRPr="00B62481">
        <w:rPr>
          <w:rFonts w:ascii="Arial" w:eastAsia="Arial Unicode MS" w:hAnsi="Arial"/>
          <w:snapToGrid w:val="0"/>
          <w:rtl/>
        </w:rPr>
        <w:t>–</w:t>
      </w:r>
      <w:r w:rsidRPr="00B62481">
        <w:rPr>
          <w:rFonts w:ascii="Arial" w:eastAsia="Arial Unicode MS" w:hAnsi="Arial" w:hint="cs"/>
          <w:snapToGrid w:val="0"/>
          <w:rtl/>
        </w:rPr>
        <w:t xml:space="preserve"> שאגת הארי. לפי המוצע ישולם מענק מיוחד לאדם שמלאו לו 67 שנים או יותר, הוא תושב ישראל לעניין </w:t>
      </w:r>
      <w:r w:rsidRPr="00B62481">
        <w:rPr>
          <w:rFonts w:ascii="Arial" w:eastAsia="Arial Unicode MS" w:hAnsi="Arial" w:hint="eastAsia"/>
          <w:snapToGrid w:val="0"/>
          <w:rtl/>
        </w:rPr>
        <w:t>חוק</w:t>
      </w:r>
      <w:r w:rsidRPr="00B62481">
        <w:rPr>
          <w:rFonts w:ascii="Arial" w:eastAsia="Arial Unicode MS" w:hAnsi="Arial" w:hint="cs"/>
          <w:snapToGrid w:val="0"/>
          <w:rtl/>
        </w:rPr>
        <w:t xml:space="preserve"> הביטוח הלאומי והוא עבד כשכיר במשך שלושה חודשים רצופים לפחות לפני </w:t>
      </w:r>
      <w:r w:rsidRPr="00B62481">
        <w:rPr>
          <w:rFonts w:ascii="Arial" w:eastAsia="Arial Unicode MS" w:hAnsi="Arial" w:hint="eastAsia"/>
          <w:snapToGrid w:val="0"/>
          <w:rtl/>
        </w:rPr>
        <w:t>שהופסקה</w:t>
      </w:r>
      <w:r w:rsidRPr="00B62481">
        <w:rPr>
          <w:rFonts w:ascii="Arial" w:eastAsia="Arial Unicode MS" w:hAnsi="Arial"/>
          <w:snapToGrid w:val="0"/>
          <w:rtl/>
        </w:rPr>
        <w:t xml:space="preserve"> </w:t>
      </w:r>
      <w:r w:rsidRPr="00B62481">
        <w:rPr>
          <w:rFonts w:ascii="Arial" w:eastAsia="Arial Unicode MS" w:hAnsi="Arial" w:hint="eastAsia"/>
          <w:snapToGrid w:val="0"/>
          <w:rtl/>
        </w:rPr>
        <w:t>עבודתו</w:t>
      </w:r>
      <w:r w:rsidRPr="00B62481">
        <w:rPr>
          <w:rFonts w:ascii="Arial" w:eastAsia="Arial Unicode MS" w:hAnsi="Arial"/>
          <w:snapToGrid w:val="0"/>
          <w:rtl/>
        </w:rPr>
        <w:t xml:space="preserve"> </w:t>
      </w:r>
      <w:r w:rsidRPr="00B62481">
        <w:rPr>
          <w:rFonts w:ascii="Arial" w:eastAsia="Arial Unicode MS" w:hAnsi="Arial" w:hint="eastAsia"/>
          <w:snapToGrid w:val="0"/>
          <w:rtl/>
        </w:rPr>
        <w:t>עקב</w:t>
      </w:r>
      <w:r w:rsidRPr="00B62481">
        <w:rPr>
          <w:rFonts w:ascii="Arial" w:eastAsia="Arial Unicode MS" w:hAnsi="Arial"/>
          <w:snapToGrid w:val="0"/>
          <w:rtl/>
        </w:rPr>
        <w:t xml:space="preserve"> </w:t>
      </w:r>
      <w:r w:rsidRPr="00B62481">
        <w:rPr>
          <w:rFonts w:ascii="Arial" w:eastAsia="Arial Unicode MS" w:hAnsi="Arial" w:hint="eastAsia"/>
          <w:snapToGrid w:val="0"/>
          <w:rtl/>
        </w:rPr>
        <w:t>פיטורים</w:t>
      </w:r>
      <w:r w:rsidRPr="00B62481">
        <w:rPr>
          <w:rFonts w:ascii="Arial" w:eastAsia="Arial Unicode MS" w:hAnsi="Arial"/>
          <w:snapToGrid w:val="0"/>
          <w:rtl/>
        </w:rPr>
        <w:t xml:space="preserve"> או יציאה </w:t>
      </w:r>
      <w:r w:rsidRPr="00B62481">
        <w:rPr>
          <w:rFonts w:ascii="Arial" w:eastAsia="Arial Unicode MS" w:hAnsi="Arial" w:hint="eastAsia"/>
          <w:snapToGrid w:val="0"/>
          <w:rtl/>
        </w:rPr>
        <w:t>לחופשה</w:t>
      </w:r>
      <w:r w:rsidRPr="00B62481">
        <w:rPr>
          <w:rFonts w:ascii="Arial" w:eastAsia="Arial Unicode MS" w:hAnsi="Arial"/>
          <w:snapToGrid w:val="0"/>
          <w:rtl/>
        </w:rPr>
        <w:t xml:space="preserve"> ללא תשלום </w:t>
      </w:r>
      <w:r w:rsidRPr="00B62481">
        <w:rPr>
          <w:rFonts w:ascii="Arial" w:eastAsia="Arial Unicode MS" w:hAnsi="Arial" w:hint="eastAsia"/>
          <w:snapToGrid w:val="0"/>
          <w:rtl/>
        </w:rPr>
        <w:t>ביוזמת</w:t>
      </w:r>
      <w:r w:rsidRPr="00B62481">
        <w:rPr>
          <w:rFonts w:ascii="Arial" w:eastAsia="Arial Unicode MS" w:hAnsi="Arial"/>
          <w:snapToGrid w:val="0"/>
          <w:rtl/>
        </w:rPr>
        <w:t xml:space="preserve"> </w:t>
      </w:r>
      <w:r w:rsidRPr="00B62481">
        <w:rPr>
          <w:rFonts w:ascii="Arial" w:eastAsia="Arial Unicode MS" w:hAnsi="Arial" w:hint="eastAsia"/>
          <w:snapToGrid w:val="0"/>
          <w:rtl/>
        </w:rPr>
        <w:t>המעסיק</w:t>
      </w:r>
      <w:r w:rsidRPr="00B62481">
        <w:rPr>
          <w:rFonts w:ascii="Arial" w:eastAsia="Arial Unicode MS" w:hAnsi="Arial" w:hint="cs"/>
          <w:snapToGrid w:val="0"/>
          <w:rtl/>
        </w:rPr>
        <w:t xml:space="preserve"> בתקופה הקובעת לתקופה של 14 ימים לפחות. </w:t>
      </w:r>
    </w:p>
    <w:p w14:paraId="53969CE0" w14:textId="77777777" w:rsidR="00B62481" w:rsidRDefault="00B62481" w:rsidP="00B62481">
      <w:pPr>
        <w:snapToGrid w:val="0"/>
        <w:rPr>
          <w:rFonts w:ascii="Arial" w:eastAsia="Arial Unicode MS" w:hAnsi="Arial"/>
          <w:snapToGrid w:val="0"/>
          <w:rtl/>
        </w:rPr>
      </w:pPr>
      <w:r w:rsidRPr="00B62481">
        <w:rPr>
          <w:rFonts w:ascii="Arial" w:eastAsia="Arial Unicode MS" w:hAnsi="Arial" w:hint="cs"/>
          <w:snapToGrid w:val="0"/>
          <w:rtl/>
        </w:rPr>
        <w:t>עוד מוצע לקבוע כי סכום המענק יעמוד על</w:t>
      </w:r>
      <w:r w:rsidRPr="00B62481">
        <w:rPr>
          <w:rFonts w:ascii="Arial" w:eastAsia="Arial Unicode MS" w:hAnsi="Arial"/>
          <w:snapToGrid w:val="0"/>
          <w:rtl/>
        </w:rPr>
        <w:t xml:space="preserve"> 75% </w:t>
      </w:r>
      <w:r w:rsidRPr="00B62481">
        <w:rPr>
          <w:rFonts w:ascii="Arial" w:eastAsia="Arial Unicode MS" w:hAnsi="Arial" w:hint="cs"/>
          <w:snapToGrid w:val="0"/>
          <w:rtl/>
        </w:rPr>
        <w:t>משכר העבודה</w:t>
      </w:r>
      <w:r w:rsidRPr="00B62481">
        <w:rPr>
          <w:rFonts w:ascii="Arial" w:eastAsia="Arial Unicode MS" w:hAnsi="Arial"/>
          <w:snapToGrid w:val="0"/>
          <w:rtl/>
        </w:rPr>
        <w:t xml:space="preserve"> הממוצע</w:t>
      </w:r>
      <w:r w:rsidRPr="00B62481">
        <w:rPr>
          <w:rFonts w:ascii="Arial" w:eastAsia="Arial Unicode MS" w:hAnsi="Arial" w:hint="cs"/>
          <w:snapToGrid w:val="0"/>
          <w:rtl/>
        </w:rPr>
        <w:t xml:space="preserve"> של העובד</w:t>
      </w:r>
      <w:r w:rsidRPr="00B62481">
        <w:rPr>
          <w:rFonts w:ascii="Arial" w:eastAsia="Arial Unicode MS" w:hAnsi="Arial"/>
          <w:snapToGrid w:val="0"/>
          <w:rtl/>
        </w:rPr>
        <w:t xml:space="preserve"> </w:t>
      </w:r>
      <w:r w:rsidRPr="00B62481">
        <w:rPr>
          <w:rFonts w:ascii="Arial" w:eastAsia="Arial Unicode MS" w:hAnsi="Arial" w:hint="cs"/>
          <w:snapToGrid w:val="0"/>
          <w:rtl/>
        </w:rPr>
        <w:t xml:space="preserve">בשלושה חודשים מתוך ששת </w:t>
      </w:r>
      <w:r w:rsidRPr="00B62481">
        <w:rPr>
          <w:rFonts w:ascii="Arial" w:eastAsia="Arial Unicode MS" w:hAnsi="Arial"/>
          <w:snapToGrid w:val="0"/>
          <w:rtl/>
        </w:rPr>
        <w:t xml:space="preserve">החודשים האחרונים שקדמו להפסקת </w:t>
      </w:r>
      <w:r w:rsidRPr="00B62481">
        <w:rPr>
          <w:rFonts w:ascii="Arial" w:eastAsia="Arial Unicode MS" w:hAnsi="Arial" w:hint="cs"/>
          <w:snapToGrid w:val="0"/>
          <w:rtl/>
        </w:rPr>
        <w:t>עבודתו, אשר יחושב</w:t>
      </w:r>
      <w:r w:rsidRPr="00B62481">
        <w:rPr>
          <w:rFonts w:ascii="Arial" w:eastAsia="Arial Unicode MS" w:hAnsi="Arial"/>
          <w:snapToGrid w:val="0"/>
          <w:rtl/>
        </w:rPr>
        <w:t xml:space="preserve"> לפי </w:t>
      </w:r>
      <w:r w:rsidRPr="00B62481">
        <w:rPr>
          <w:rFonts w:ascii="Arial" w:eastAsia="Arial Unicode MS" w:hAnsi="Arial" w:hint="cs"/>
          <w:snapToGrid w:val="0"/>
          <w:rtl/>
        </w:rPr>
        <w:t xml:space="preserve">שלושת תלושי </w:t>
      </w:r>
      <w:r w:rsidRPr="00B62481">
        <w:rPr>
          <w:rFonts w:ascii="Arial" w:eastAsia="Arial Unicode MS" w:hAnsi="Arial"/>
          <w:snapToGrid w:val="0"/>
          <w:rtl/>
        </w:rPr>
        <w:t>השכר הגבוה</w:t>
      </w:r>
      <w:r w:rsidRPr="00B62481">
        <w:rPr>
          <w:rFonts w:ascii="Arial" w:eastAsia="Arial Unicode MS" w:hAnsi="Arial" w:hint="cs"/>
          <w:snapToGrid w:val="0"/>
          <w:rtl/>
        </w:rPr>
        <w:t>ים</w:t>
      </w:r>
      <w:r w:rsidRPr="00B62481">
        <w:rPr>
          <w:rFonts w:ascii="Arial" w:eastAsia="Arial Unicode MS" w:hAnsi="Arial"/>
          <w:snapToGrid w:val="0"/>
          <w:rtl/>
        </w:rPr>
        <w:t xml:space="preserve"> </w:t>
      </w:r>
      <w:r w:rsidRPr="00B62481">
        <w:rPr>
          <w:rFonts w:ascii="Arial" w:eastAsia="Arial Unicode MS" w:hAnsi="Arial" w:hint="cs"/>
          <w:snapToGrid w:val="0"/>
          <w:rtl/>
        </w:rPr>
        <w:t>שב</w:t>
      </w:r>
      <w:r w:rsidRPr="00B62481">
        <w:rPr>
          <w:rFonts w:ascii="Arial" w:eastAsia="Arial Unicode MS" w:hAnsi="Arial"/>
          <w:snapToGrid w:val="0"/>
          <w:rtl/>
        </w:rPr>
        <w:t xml:space="preserve">הם, </w:t>
      </w:r>
      <w:r w:rsidRPr="00B62481">
        <w:rPr>
          <w:rFonts w:ascii="Arial" w:eastAsia="Arial Unicode MS" w:hAnsi="Arial" w:hint="cs"/>
          <w:snapToGrid w:val="0"/>
          <w:rtl/>
        </w:rPr>
        <w:t>ואולם</w:t>
      </w:r>
      <w:r w:rsidRPr="00B62481">
        <w:rPr>
          <w:rFonts w:ascii="Arial" w:eastAsia="Arial Unicode MS" w:hAnsi="Arial"/>
          <w:snapToGrid w:val="0"/>
          <w:rtl/>
        </w:rPr>
        <w:t xml:space="preserve"> לא יעלה </w:t>
      </w:r>
      <w:r w:rsidRPr="00B62481">
        <w:rPr>
          <w:rFonts w:ascii="Arial" w:eastAsia="Arial Unicode MS" w:hAnsi="Arial" w:hint="cs"/>
          <w:snapToGrid w:val="0"/>
          <w:rtl/>
        </w:rPr>
        <w:t xml:space="preserve">סכום המענק </w:t>
      </w:r>
      <w:r w:rsidRPr="00B62481">
        <w:rPr>
          <w:rFonts w:ascii="Arial" w:eastAsia="Arial Unicode MS" w:hAnsi="Arial"/>
          <w:snapToGrid w:val="0"/>
          <w:rtl/>
        </w:rPr>
        <w:t>על 1</w:t>
      </w:r>
      <w:r w:rsidRPr="00B62481">
        <w:rPr>
          <w:rFonts w:ascii="Arial" w:eastAsia="Arial Unicode MS" w:hAnsi="Arial" w:hint="cs"/>
          <w:snapToGrid w:val="0"/>
          <w:rtl/>
        </w:rPr>
        <w:t>37 שקלים חדשים</w:t>
      </w:r>
      <w:r w:rsidRPr="00B62481">
        <w:rPr>
          <w:rFonts w:ascii="Arial" w:eastAsia="Arial Unicode MS" w:hAnsi="Arial"/>
          <w:snapToGrid w:val="0"/>
          <w:rtl/>
        </w:rPr>
        <w:t xml:space="preserve"> ליום</w:t>
      </w:r>
      <w:r w:rsidRPr="00B62481">
        <w:rPr>
          <w:rFonts w:ascii="Arial" w:eastAsia="Arial Unicode MS" w:hAnsi="Arial" w:hint="cs"/>
          <w:snapToGrid w:val="0"/>
          <w:rtl/>
        </w:rPr>
        <w:t xml:space="preserve"> כפול מספר הימים שבהם היה העובד מחוסר עבודה</w:t>
      </w:r>
      <w:r w:rsidRPr="00B62481">
        <w:rPr>
          <w:rFonts w:ascii="Arial" w:eastAsia="Arial Unicode MS" w:hAnsi="Arial"/>
          <w:snapToGrid w:val="0"/>
          <w:rtl/>
        </w:rPr>
        <w:t>.</w:t>
      </w:r>
      <w:r w:rsidRPr="00B62481">
        <w:rPr>
          <w:rFonts w:ascii="Arial" w:eastAsia="Arial Unicode MS" w:hAnsi="Arial" w:hint="cs"/>
          <w:snapToGrid w:val="0"/>
          <w:rtl/>
        </w:rPr>
        <w:t xml:space="preserve"> יובהר לעניין זה כי המענק ישולם לכל היותר עד תום ה</w:t>
      </w:r>
      <w:r w:rsidRPr="00B62481">
        <w:rPr>
          <w:rFonts w:ascii="Arial" w:eastAsia="Arial Unicode MS" w:hAnsi="Arial" w:hint="eastAsia"/>
          <w:snapToGrid w:val="0"/>
          <w:rtl/>
        </w:rPr>
        <w:t>תקופה</w:t>
      </w:r>
      <w:r w:rsidRPr="00B62481">
        <w:rPr>
          <w:rFonts w:ascii="Arial" w:eastAsia="Arial Unicode MS" w:hAnsi="Arial"/>
          <w:snapToGrid w:val="0"/>
          <w:rtl/>
        </w:rPr>
        <w:t xml:space="preserve"> </w:t>
      </w:r>
      <w:r w:rsidRPr="00B62481">
        <w:rPr>
          <w:rFonts w:ascii="Arial" w:eastAsia="Arial Unicode MS" w:hAnsi="Arial" w:hint="eastAsia"/>
          <w:snapToGrid w:val="0"/>
          <w:rtl/>
        </w:rPr>
        <w:t>הקובעת</w:t>
      </w:r>
      <w:r w:rsidRPr="00B62481">
        <w:rPr>
          <w:rFonts w:ascii="Arial" w:eastAsia="Arial Unicode MS" w:hAnsi="Arial" w:hint="cs"/>
          <w:snapToGrid w:val="0"/>
          <w:rtl/>
        </w:rPr>
        <w:t>.</w:t>
      </w:r>
    </w:p>
    <w:p w14:paraId="18048670" w14:textId="79E14EBD" w:rsidR="00B62481" w:rsidRPr="00B62481" w:rsidRDefault="00B62481" w:rsidP="00B62481">
      <w:pPr>
        <w:snapToGrid w:val="0"/>
        <w:rPr>
          <w:rFonts w:ascii="Arial" w:eastAsia="Arial Unicode MS" w:hAnsi="Arial"/>
          <w:snapToGrid w:val="0"/>
          <w:rtl/>
        </w:rPr>
      </w:pPr>
      <w:r w:rsidRPr="00B62481">
        <w:rPr>
          <w:rFonts w:ascii="Arial" w:eastAsia="Arial Unicode MS" w:hAnsi="Arial" w:hint="eastAsia"/>
          <w:b/>
          <w:bCs/>
          <w:snapToGrid w:val="0"/>
          <w:rtl/>
        </w:rPr>
        <w:t>לפסקה</w:t>
      </w:r>
      <w:r w:rsidRPr="00B62481">
        <w:rPr>
          <w:rFonts w:ascii="Arial" w:eastAsia="Arial Unicode MS" w:hAnsi="Arial"/>
          <w:b/>
          <w:bCs/>
          <w:snapToGrid w:val="0"/>
          <w:rtl/>
        </w:rPr>
        <w:t xml:space="preserve"> (7) </w:t>
      </w:r>
    </w:p>
    <w:p w14:paraId="00A62E70" w14:textId="77777777" w:rsidR="00B62481" w:rsidRPr="00B62481" w:rsidRDefault="00B62481" w:rsidP="00B62481">
      <w:pPr>
        <w:snapToGrid w:val="0"/>
        <w:rPr>
          <w:rFonts w:ascii="Arial" w:eastAsia="Arial Unicode MS" w:hAnsi="Arial"/>
          <w:snapToGrid w:val="0"/>
          <w:sz w:val="20"/>
          <w:szCs w:val="26"/>
          <w:rtl/>
        </w:rPr>
      </w:pPr>
      <w:r w:rsidRPr="00B62481">
        <w:rPr>
          <w:rFonts w:ascii="Arial" w:eastAsia="Arial Unicode MS" w:hAnsi="Arial" w:hint="cs"/>
          <w:snapToGrid w:val="0"/>
          <w:rtl/>
        </w:rPr>
        <w:t>מוצע לקבוע כי בקשה למענק מיוחד לפי הוראות סימן ד</w:t>
      </w:r>
      <w:r w:rsidRPr="00B62481">
        <w:rPr>
          <w:rFonts w:ascii="Arial" w:eastAsia="Arial Unicode MS" w:hAnsi="Arial"/>
          <w:snapToGrid w:val="0"/>
          <w:rtl/>
        </w:rPr>
        <w:t>'</w:t>
      </w:r>
      <w:r w:rsidRPr="00B62481">
        <w:rPr>
          <w:rFonts w:ascii="Arial" w:eastAsia="Arial Unicode MS" w:hAnsi="Arial" w:hint="cs"/>
          <w:snapToGrid w:val="0"/>
          <w:rtl/>
        </w:rPr>
        <w:t xml:space="preserve"> בפרק ג', כאמור לעיל, תוגש עד שנים עשר חודשים מיום תחילתו של ה</w:t>
      </w:r>
      <w:r w:rsidRPr="00B62481">
        <w:rPr>
          <w:rFonts w:ascii="Arial" w:eastAsia="Arial Unicode MS" w:hAnsi="Arial" w:hint="eastAsia"/>
          <w:snapToGrid w:val="0"/>
          <w:rtl/>
        </w:rPr>
        <w:t>חוק</w:t>
      </w:r>
      <w:r w:rsidRPr="00B62481">
        <w:rPr>
          <w:rFonts w:ascii="Arial" w:eastAsia="Arial Unicode MS" w:hAnsi="Arial" w:hint="cs"/>
          <w:snapToGrid w:val="0"/>
          <w:rtl/>
        </w:rPr>
        <w:t xml:space="preserve"> המוצע</w:t>
      </w:r>
      <w:r w:rsidRPr="00B62481">
        <w:rPr>
          <w:rFonts w:ascii="Arial" w:eastAsia="Arial Unicode MS" w:hAnsi="Arial" w:hint="cs"/>
          <w:snapToGrid w:val="0"/>
          <w:sz w:val="20"/>
          <w:szCs w:val="26"/>
          <w:rtl/>
        </w:rPr>
        <w:t>.</w:t>
      </w:r>
    </w:p>
    <w:p w14:paraId="74F00907" w14:textId="540D0CB9" w:rsidR="00B62481" w:rsidRDefault="00B62481" w:rsidP="00B62481">
      <w:pPr>
        <w:rPr>
          <w:b/>
          <w:bCs/>
          <w:rtl/>
        </w:rPr>
      </w:pPr>
    </w:p>
    <w:p w14:paraId="13ADFCC3" w14:textId="18E78B0B" w:rsidR="00B62481" w:rsidRDefault="00B62481" w:rsidP="00B62481">
      <w:pPr>
        <w:rPr>
          <w:b/>
          <w:bCs/>
          <w:rtl/>
        </w:rPr>
      </w:pPr>
      <w:r>
        <w:rPr>
          <w:rFonts w:hint="cs"/>
          <w:b/>
          <w:bCs/>
          <w:rtl/>
        </w:rPr>
        <w:t xml:space="preserve">סעיף </w:t>
      </w:r>
      <w:r w:rsidR="00B06C6E">
        <w:rPr>
          <w:rFonts w:hint="cs"/>
          <w:b/>
          <w:bCs/>
          <w:rtl/>
        </w:rPr>
        <w:t>5</w:t>
      </w:r>
    </w:p>
    <w:p w14:paraId="77FAE9DD" w14:textId="7A2929EA" w:rsidR="00B62481" w:rsidRPr="00B62481" w:rsidRDefault="00B62481" w:rsidP="00B62481">
      <w:pPr>
        <w:rPr>
          <w:rtl/>
        </w:rPr>
      </w:pPr>
      <w:r w:rsidRPr="00B62481">
        <w:rPr>
          <w:rtl/>
        </w:rPr>
        <w:t>מוצע לקבוע כי התשלומים הראשונים לפי חוק הביטוח הלאומי ולפי חוק מענק מיוחד</w:t>
      </w:r>
      <w:r w:rsidR="00254893">
        <w:rPr>
          <w:rFonts w:hint="cs"/>
          <w:rtl/>
        </w:rPr>
        <w:t>,</w:t>
      </w:r>
      <w:r w:rsidRPr="00B62481">
        <w:rPr>
          <w:rtl/>
        </w:rPr>
        <w:t xml:space="preserve"> כנוסח</w:t>
      </w:r>
      <w:r w:rsidR="00254893">
        <w:rPr>
          <w:rFonts w:hint="cs"/>
          <w:rtl/>
        </w:rPr>
        <w:t>ם ב</w:t>
      </w:r>
      <w:r w:rsidRPr="00B62481">
        <w:rPr>
          <w:rtl/>
        </w:rPr>
        <w:t>חוק זה</w:t>
      </w:r>
      <w:r w:rsidR="00254893">
        <w:rPr>
          <w:rFonts w:hint="cs"/>
          <w:rtl/>
        </w:rPr>
        <w:t>,</w:t>
      </w:r>
      <w:r w:rsidRPr="00B62481">
        <w:rPr>
          <w:rtl/>
        </w:rPr>
        <w:t xml:space="preserve"> ישולמו בתוך 30 ימים מיום פרסומו של חוק זה.</w:t>
      </w:r>
    </w:p>
    <w:p w14:paraId="4C77257F" w14:textId="3928A7C4" w:rsidR="00B62481" w:rsidRDefault="00B62481" w:rsidP="00B62481">
      <w:pPr>
        <w:rPr>
          <w:rtl/>
        </w:rPr>
      </w:pPr>
    </w:p>
    <w:p w14:paraId="67B8DBCD" w14:textId="4857A4B4" w:rsidR="00B62481" w:rsidRPr="00B62481" w:rsidRDefault="00B62481" w:rsidP="00B62481">
      <w:pPr>
        <w:rPr>
          <w:b/>
          <w:bCs/>
          <w:rtl/>
        </w:rPr>
      </w:pPr>
      <w:r w:rsidRPr="00B62481">
        <w:rPr>
          <w:rFonts w:hint="cs"/>
          <w:b/>
          <w:bCs/>
          <w:rtl/>
        </w:rPr>
        <w:t xml:space="preserve">סעיף </w:t>
      </w:r>
      <w:r w:rsidR="00B06C6E">
        <w:rPr>
          <w:rFonts w:hint="cs"/>
          <w:b/>
          <w:bCs/>
          <w:rtl/>
        </w:rPr>
        <w:t>6</w:t>
      </w:r>
    </w:p>
    <w:p w14:paraId="378AEDD5" w14:textId="77777777" w:rsidR="00077A35" w:rsidRDefault="004E4189" w:rsidP="00077A35">
      <w:pPr>
        <w:rPr>
          <w:rtl/>
        </w:rPr>
      </w:pPr>
      <w:r w:rsidRPr="001F79FC">
        <w:rPr>
          <w:rFonts w:hint="eastAsia"/>
          <w:b/>
          <w:bCs/>
          <w:rtl/>
        </w:rPr>
        <w:t>כללי</w:t>
      </w:r>
      <w:r w:rsidRPr="001F79FC">
        <w:rPr>
          <w:b/>
          <w:bCs/>
          <w:rtl/>
        </w:rPr>
        <w:tab/>
      </w:r>
      <w:r w:rsidRPr="001F79FC">
        <w:rPr>
          <w:rFonts w:hint="cs"/>
          <w:rtl/>
        </w:rPr>
        <w:t xml:space="preserve">חוק עבודת נשים, </w:t>
      </w:r>
      <w:proofErr w:type="spellStart"/>
      <w:r w:rsidRPr="001F79FC">
        <w:rPr>
          <w:rtl/>
        </w:rPr>
        <w:t>התשי</w:t>
      </w:r>
      <w:proofErr w:type="spellEnd"/>
      <w:r w:rsidRPr="001F79FC">
        <w:rPr>
          <w:rtl/>
        </w:rPr>
        <w:t>"ד</w:t>
      </w:r>
      <w:r w:rsidRPr="001F79FC">
        <w:rPr>
          <w:rFonts w:hint="cs"/>
          <w:rtl/>
        </w:rPr>
        <w:t>–</w:t>
      </w:r>
      <w:r w:rsidRPr="001F79FC">
        <w:rPr>
          <w:rtl/>
        </w:rPr>
        <w:t>1954</w:t>
      </w:r>
      <w:r w:rsidRPr="001F79FC">
        <w:rPr>
          <w:rFonts w:hint="cs"/>
          <w:rtl/>
        </w:rPr>
        <w:t xml:space="preserve"> (להלן </w:t>
      </w:r>
      <w:r w:rsidRPr="001F79FC">
        <w:rPr>
          <w:rtl/>
        </w:rPr>
        <w:t>–</w:t>
      </w:r>
      <w:r w:rsidRPr="001F79FC">
        <w:rPr>
          <w:rFonts w:hint="cs"/>
          <w:rtl/>
        </w:rPr>
        <w:t xml:space="preserve"> חוק עבודת נשים), קובע, בין השאר, כי מעסיק לא יפטר עובד או עובדת בתקופות מסוימות הקבועות בחוק, אלא בהיתר מאת שר העבודה. סעיף 9(ג)(1א) לחוק קובע כי מעסיק לא יפטר עובדת או עובד בתקופה של 60 ימים לאחר תקופת הלידה וההורות או לאחר תום ימי ההיעדרות, ולא ייתן הודעת פיטורים למועד החל בתקופה האמורה, אלא בהיתר מאת השר כאמור. עוד נקבע במסגרת החוק האמור </w:t>
      </w:r>
      <w:r w:rsidRPr="001F79FC">
        <w:rPr>
          <w:rFonts w:hint="eastAsia"/>
          <w:rtl/>
        </w:rPr>
        <w:t>כי</w:t>
      </w:r>
      <w:r w:rsidRPr="001F79FC">
        <w:rPr>
          <w:rtl/>
        </w:rPr>
        <w:t xml:space="preserve"> שר </w:t>
      </w:r>
      <w:r w:rsidRPr="001F79FC">
        <w:rPr>
          <w:rFonts w:hint="cs"/>
          <w:rtl/>
        </w:rPr>
        <w:t xml:space="preserve">העבודה לא יתיר פיטורים לפי הסעיף האמור אלא אם שוכנע כי הפיטורים אינם בקשר ללידה, לתקופת הלידה וההורות או להיעדרות כאמור, וכן כי עסקו של המעסיק חדל לפעול או שהמעסיק הוכרז כפושט רגל ואם הוא תאגיד – ניתן צו פירוק. </w:t>
      </w:r>
    </w:p>
    <w:p w14:paraId="4CEE355A" w14:textId="433F33A3" w:rsidR="004E4189" w:rsidRDefault="004E4189" w:rsidP="00077A35">
      <w:pPr>
        <w:rPr>
          <w:rtl/>
        </w:rPr>
      </w:pPr>
      <w:r w:rsidRPr="001F79FC">
        <w:rPr>
          <w:rFonts w:hint="cs"/>
          <w:rtl/>
        </w:rPr>
        <w:t>יתרה</w:t>
      </w:r>
      <w:r w:rsidRPr="001F79FC">
        <w:rPr>
          <w:rtl/>
        </w:rPr>
        <w:t xml:space="preserve"> </w:t>
      </w:r>
      <w:r w:rsidRPr="001F79FC">
        <w:rPr>
          <w:rFonts w:hint="cs"/>
          <w:rtl/>
        </w:rPr>
        <w:t>מכך</w:t>
      </w:r>
      <w:r w:rsidRPr="001F79FC">
        <w:rPr>
          <w:rtl/>
        </w:rPr>
        <w:t xml:space="preserve">, סעיף 9(ג)(2) קובע, </w:t>
      </w:r>
      <w:r w:rsidRPr="001F79FC">
        <w:rPr>
          <w:rFonts w:hint="eastAsia"/>
          <w:rtl/>
        </w:rPr>
        <w:t>בין</w:t>
      </w:r>
      <w:r w:rsidRPr="001F79FC">
        <w:rPr>
          <w:rtl/>
        </w:rPr>
        <w:t xml:space="preserve"> </w:t>
      </w:r>
      <w:r w:rsidRPr="001F79FC">
        <w:rPr>
          <w:rFonts w:hint="eastAsia"/>
          <w:rtl/>
        </w:rPr>
        <w:t>השאר</w:t>
      </w:r>
      <w:r w:rsidRPr="001F79FC">
        <w:rPr>
          <w:rtl/>
        </w:rPr>
        <w:t>, כי מעסיק לא יפטר עובד או עובדת 60 יום לאחר הארכה של תקופת הלידה וההורות שניתנה לפי סעיפים (ג)(1ג), (ד)(1) או (ד1) לחוק, אלא בהיתר מאת השר האמור.</w:t>
      </w:r>
    </w:p>
    <w:p w14:paraId="6AACBCAB" w14:textId="77777777" w:rsidR="00347F9D" w:rsidRPr="001F79FC" w:rsidRDefault="00347F9D" w:rsidP="00077A35">
      <w:pPr>
        <w:rPr>
          <w:rtl/>
        </w:rPr>
      </w:pPr>
    </w:p>
    <w:p w14:paraId="511F7185" w14:textId="77777777" w:rsidR="00077A35" w:rsidRDefault="004E4189" w:rsidP="00077A35">
      <w:pPr>
        <w:rPr>
          <w:b/>
          <w:bCs/>
          <w:rtl/>
        </w:rPr>
      </w:pPr>
      <w:r w:rsidRPr="001F79FC">
        <w:rPr>
          <w:rFonts w:hint="eastAsia"/>
          <w:b/>
          <w:bCs/>
          <w:rtl/>
        </w:rPr>
        <w:t>לפסקה</w:t>
      </w:r>
      <w:r w:rsidRPr="001F79FC">
        <w:rPr>
          <w:b/>
          <w:bCs/>
          <w:rtl/>
        </w:rPr>
        <w:t xml:space="preserve"> (1) </w:t>
      </w:r>
    </w:p>
    <w:p w14:paraId="196B68C4" w14:textId="77777777" w:rsidR="00077A35" w:rsidRDefault="004E4189" w:rsidP="00077A35">
      <w:pPr>
        <w:rPr>
          <w:rtl/>
        </w:rPr>
      </w:pPr>
      <w:r w:rsidRPr="001F79FC">
        <w:rPr>
          <w:rFonts w:hint="eastAsia"/>
          <w:rtl/>
        </w:rPr>
        <w:t>לאור</w:t>
      </w:r>
      <w:r w:rsidRPr="001F79FC">
        <w:rPr>
          <w:rtl/>
        </w:rPr>
        <w:t xml:space="preserve"> </w:t>
      </w:r>
      <w:r w:rsidRPr="001F79FC">
        <w:rPr>
          <w:rFonts w:hint="eastAsia"/>
          <w:rtl/>
        </w:rPr>
        <w:t>התיקונים</w:t>
      </w:r>
      <w:r w:rsidRPr="001F79FC">
        <w:rPr>
          <w:rtl/>
        </w:rPr>
        <w:t xml:space="preserve"> </w:t>
      </w:r>
      <w:r w:rsidRPr="001F79FC">
        <w:rPr>
          <w:rFonts w:hint="eastAsia"/>
          <w:rtl/>
        </w:rPr>
        <w:t>המוצעים</w:t>
      </w:r>
      <w:r w:rsidRPr="001F79FC">
        <w:rPr>
          <w:rtl/>
        </w:rPr>
        <w:t xml:space="preserve"> </w:t>
      </w:r>
      <w:r w:rsidRPr="001F79FC">
        <w:rPr>
          <w:rFonts w:hint="eastAsia"/>
          <w:rtl/>
        </w:rPr>
        <w:t>בחוק</w:t>
      </w:r>
      <w:r w:rsidRPr="001F79FC">
        <w:rPr>
          <w:rtl/>
        </w:rPr>
        <w:t xml:space="preserve"> </w:t>
      </w:r>
      <w:r w:rsidRPr="001F79FC">
        <w:rPr>
          <w:rFonts w:hint="eastAsia"/>
          <w:rtl/>
        </w:rPr>
        <w:t>הביטוח</w:t>
      </w:r>
      <w:r w:rsidRPr="001F79FC">
        <w:rPr>
          <w:rtl/>
        </w:rPr>
        <w:t xml:space="preserve"> </w:t>
      </w:r>
      <w:r w:rsidRPr="001F79FC">
        <w:rPr>
          <w:rFonts w:hint="eastAsia"/>
          <w:rtl/>
        </w:rPr>
        <w:t>הלאומי</w:t>
      </w:r>
      <w:r w:rsidRPr="001F79FC">
        <w:rPr>
          <w:rtl/>
        </w:rPr>
        <w:t xml:space="preserve">, </w:t>
      </w:r>
      <w:r w:rsidRPr="001F79FC">
        <w:rPr>
          <w:rFonts w:hint="eastAsia"/>
          <w:rtl/>
        </w:rPr>
        <w:t>מוצע</w:t>
      </w:r>
      <w:r w:rsidRPr="001F79FC">
        <w:rPr>
          <w:rtl/>
        </w:rPr>
        <w:t xml:space="preserve"> לתקן את חוק עבודת נשים </w:t>
      </w:r>
      <w:r w:rsidRPr="001F79FC">
        <w:rPr>
          <w:rFonts w:hint="eastAsia"/>
          <w:rtl/>
        </w:rPr>
        <w:t>ולקבוע</w:t>
      </w:r>
      <w:r w:rsidRPr="001F79FC">
        <w:rPr>
          <w:rtl/>
        </w:rPr>
        <w:t xml:space="preserve"> </w:t>
      </w:r>
      <w:r w:rsidRPr="001F79FC">
        <w:rPr>
          <w:rFonts w:hint="cs"/>
          <w:rtl/>
        </w:rPr>
        <w:t xml:space="preserve">הוראת שעה שתעמוד בתוקפה </w:t>
      </w:r>
      <w:r w:rsidRPr="001F79FC">
        <w:rPr>
          <w:rtl/>
        </w:rPr>
        <w:t xml:space="preserve">מיום פרסומו של חוק זה עד </w:t>
      </w:r>
      <w:r w:rsidR="00077A35" w:rsidRPr="00077A35">
        <w:rPr>
          <w:rtl/>
        </w:rPr>
        <w:t xml:space="preserve">יום כ"א באדר </w:t>
      </w:r>
      <w:proofErr w:type="spellStart"/>
      <w:r w:rsidR="00077A35" w:rsidRPr="00077A35">
        <w:rPr>
          <w:rtl/>
        </w:rPr>
        <w:t>התשפ</w:t>
      </w:r>
      <w:proofErr w:type="spellEnd"/>
      <w:r w:rsidR="00077A35" w:rsidRPr="00077A35">
        <w:rPr>
          <w:rtl/>
        </w:rPr>
        <w:t>"ז (28 בפברואר 2027)</w:t>
      </w:r>
      <w:r w:rsidR="00077A35">
        <w:rPr>
          <w:rFonts w:hint="cs"/>
          <w:rtl/>
        </w:rPr>
        <w:t xml:space="preserve">, </w:t>
      </w:r>
      <w:r w:rsidRPr="001F79FC">
        <w:rPr>
          <w:rFonts w:hint="cs"/>
          <w:rtl/>
        </w:rPr>
        <w:t>זאת בדומה להסדר שנקבע חוק הסיוע הכלכלי 2023</w:t>
      </w:r>
      <w:r w:rsidR="00077A35">
        <w:rPr>
          <w:rFonts w:hint="cs"/>
          <w:rtl/>
        </w:rPr>
        <w:t xml:space="preserve"> וחוק הסיוע הכלכלי 2025</w:t>
      </w:r>
      <w:r w:rsidRPr="001F79FC">
        <w:rPr>
          <w:rtl/>
        </w:rPr>
        <w:t xml:space="preserve">. </w:t>
      </w:r>
    </w:p>
    <w:p w14:paraId="74369854" w14:textId="77777777" w:rsidR="00077A35" w:rsidRDefault="004E4189" w:rsidP="00077A35">
      <w:pPr>
        <w:rPr>
          <w:rtl/>
        </w:rPr>
      </w:pPr>
      <w:r w:rsidRPr="001F79FC">
        <w:rPr>
          <w:rFonts w:hint="eastAsia"/>
          <w:rtl/>
        </w:rPr>
        <w:t>מוצע</w:t>
      </w:r>
      <w:r w:rsidRPr="001F79FC">
        <w:rPr>
          <w:rtl/>
        </w:rPr>
        <w:t xml:space="preserve"> לקבוע בהוראת שעה זו </w:t>
      </w:r>
      <w:r w:rsidRPr="001F79FC">
        <w:rPr>
          <w:rFonts w:hint="eastAsia"/>
          <w:rtl/>
        </w:rPr>
        <w:t>כי</w:t>
      </w:r>
      <w:r w:rsidRPr="001F79FC">
        <w:rPr>
          <w:rtl/>
        </w:rPr>
        <w:t xml:space="preserve"> </w:t>
      </w:r>
      <w:r w:rsidRPr="001F79FC">
        <w:rPr>
          <w:rFonts w:hint="eastAsia"/>
          <w:rtl/>
        </w:rPr>
        <w:t>אם</w:t>
      </w:r>
      <w:r w:rsidRPr="001F79FC">
        <w:rPr>
          <w:rtl/>
        </w:rPr>
        <w:t xml:space="preserve"> </w:t>
      </w:r>
      <w:r w:rsidRPr="001F79FC">
        <w:rPr>
          <w:rFonts w:hint="eastAsia"/>
          <w:rtl/>
        </w:rPr>
        <w:t>תקופת</w:t>
      </w:r>
      <w:r w:rsidRPr="001F79FC">
        <w:rPr>
          <w:rtl/>
        </w:rPr>
        <w:t xml:space="preserve"> </w:t>
      </w:r>
      <w:r w:rsidRPr="001F79FC">
        <w:rPr>
          <w:rFonts w:hint="eastAsia"/>
          <w:rtl/>
        </w:rPr>
        <w:t>החופשה</w:t>
      </w:r>
      <w:r w:rsidRPr="001F79FC">
        <w:rPr>
          <w:rtl/>
        </w:rPr>
        <w:t xml:space="preserve"> </w:t>
      </w:r>
      <w:r w:rsidRPr="001F79FC">
        <w:rPr>
          <w:rFonts w:hint="eastAsia"/>
          <w:rtl/>
        </w:rPr>
        <w:t>ללא</w:t>
      </w:r>
      <w:r w:rsidRPr="001F79FC">
        <w:rPr>
          <w:rtl/>
        </w:rPr>
        <w:t xml:space="preserve"> </w:t>
      </w:r>
      <w:r w:rsidRPr="001F79FC">
        <w:rPr>
          <w:rFonts w:hint="eastAsia"/>
          <w:rtl/>
        </w:rPr>
        <w:t>תשלום</w:t>
      </w:r>
      <w:r w:rsidRPr="001F79FC">
        <w:rPr>
          <w:rtl/>
        </w:rPr>
        <w:t>, כולה או חלקה, חלה בתום תקופת הלידה וההורות, תקופה זו לא תבוא במניין 60 הימים לעניין סעיפים 9(ג)(1א) ו-9(ג)(2) לחוק עבודת</w:t>
      </w:r>
      <w:r w:rsidRPr="001F79FC">
        <w:rPr>
          <w:rFonts w:hint="cs"/>
          <w:rtl/>
        </w:rPr>
        <w:t xml:space="preserve"> נשים. התיקון המוצע נועד לאפשר את שילובם של העובדים בעבודה בתום חופשת הלידה וההורות לאחר שהמעסיק חוזר לשגרה ומשיב את עובדיו לעבודה, כנדרש בחוק ובפסיקה (ע"ע 627/06 מורי נ' מ.ד.פ ילו בע"מ (נבו 16.3.2008).</w:t>
      </w:r>
    </w:p>
    <w:p w14:paraId="602D77AC" w14:textId="7C738B35" w:rsidR="004E4189" w:rsidRDefault="004E4189" w:rsidP="00077A35">
      <w:pPr>
        <w:rPr>
          <w:rtl/>
        </w:rPr>
      </w:pPr>
      <w:r w:rsidRPr="001F79FC">
        <w:rPr>
          <w:rFonts w:hint="cs"/>
          <w:rtl/>
        </w:rPr>
        <w:t>עוד מוצע לקבוע כי על אף האמור בסעיף 9(ג)(1א) לחוק עבודת נשים כאמור, יהיה רשאי שר העבודה להתיר פיטורים של עובד או עובדת שהוצאו לחופשה ללא תשלום, אם שוכנע כי הפיטורים אינם בקשר ללידה ובלבד שחלפו 60 ימים מתום תקופת הלידה וההורות. אפשרות למתן היתר זה ניתנת בדומה להוראת סעיף 9(ג)(2) שעניינו פיטורים לאחר היעדרות לפי סעיף 7(ד)(1) לחוק עבודת נשים, היינו לאחר מימוש חופשה ללא תשלום לאחר תקופת הלידה וההורות.  </w:t>
      </w:r>
    </w:p>
    <w:p w14:paraId="77B0587A" w14:textId="77777777" w:rsidR="00347F9D" w:rsidRPr="001F79FC" w:rsidRDefault="00347F9D" w:rsidP="00077A35">
      <w:pPr>
        <w:rPr>
          <w:rtl/>
        </w:rPr>
      </w:pPr>
    </w:p>
    <w:p w14:paraId="4B54DFBE" w14:textId="77777777" w:rsidR="004E4189" w:rsidRPr="001F79FC" w:rsidRDefault="004E4189" w:rsidP="004E4189">
      <w:pPr>
        <w:rPr>
          <w:b/>
          <w:bCs/>
          <w:rtl/>
        </w:rPr>
      </w:pPr>
      <w:r w:rsidRPr="001F79FC">
        <w:rPr>
          <w:rFonts w:hint="eastAsia"/>
          <w:b/>
          <w:bCs/>
          <w:rtl/>
        </w:rPr>
        <w:t>לפסקה</w:t>
      </w:r>
      <w:r w:rsidRPr="001F79FC">
        <w:rPr>
          <w:b/>
          <w:bCs/>
          <w:rtl/>
        </w:rPr>
        <w:t xml:space="preserve"> (2)</w:t>
      </w:r>
    </w:p>
    <w:p w14:paraId="4D886F97" w14:textId="0DCCF906" w:rsidR="004E4189" w:rsidRPr="001F79FC" w:rsidRDefault="004E4189" w:rsidP="00077A35">
      <w:pPr>
        <w:pStyle w:val="a5"/>
        <w:ind w:firstLine="0"/>
        <w:rPr>
          <w:b/>
          <w:bCs/>
          <w:rtl/>
        </w:rPr>
      </w:pPr>
      <w:r w:rsidRPr="00077A35">
        <w:rPr>
          <w:rFonts w:hint="cs"/>
          <w:sz w:val="24"/>
          <w:szCs w:val="24"/>
          <w:rtl/>
        </w:rPr>
        <w:t xml:space="preserve">סעיף 9א לחוק עבודת נשים קובע כי לא יפגע מעסיק בהיקף המשרה או ההכנסה של עובד או עובדת בתקופות שחלה עליהם הגנה מפני פיטורים לפי סעיף 9 לחוק האמור, אלא בהיתר מאת שר העבודה. עוד קובע סעיף 9א לחוק האמור כי פגיעה בהכנסה אינה כוללת </w:t>
      </w:r>
      <w:r w:rsidRPr="00077A35">
        <w:rPr>
          <w:rFonts w:hint="eastAsia"/>
          <w:sz w:val="24"/>
          <w:szCs w:val="24"/>
          <w:rtl/>
        </w:rPr>
        <w:t>פגיעה</w:t>
      </w:r>
      <w:r w:rsidRPr="00077A35">
        <w:rPr>
          <w:sz w:val="24"/>
          <w:szCs w:val="24"/>
          <w:rtl/>
        </w:rPr>
        <w:t xml:space="preserve"> </w:t>
      </w:r>
      <w:r w:rsidRPr="00077A35">
        <w:rPr>
          <w:rFonts w:hint="eastAsia"/>
          <w:sz w:val="24"/>
          <w:szCs w:val="24"/>
          <w:rtl/>
        </w:rPr>
        <w:t>בהכנסה</w:t>
      </w:r>
      <w:r w:rsidRPr="00077A35">
        <w:rPr>
          <w:sz w:val="24"/>
          <w:szCs w:val="24"/>
          <w:rtl/>
        </w:rPr>
        <w:t xml:space="preserve"> </w:t>
      </w:r>
      <w:r w:rsidRPr="00077A35">
        <w:rPr>
          <w:rFonts w:hint="eastAsia"/>
          <w:sz w:val="24"/>
          <w:szCs w:val="24"/>
          <w:rtl/>
        </w:rPr>
        <w:t>מכוח</w:t>
      </w:r>
      <w:r w:rsidRPr="00077A35">
        <w:rPr>
          <w:sz w:val="24"/>
          <w:szCs w:val="24"/>
          <w:rtl/>
        </w:rPr>
        <w:t xml:space="preserve"> </w:t>
      </w:r>
      <w:r w:rsidRPr="00077A35">
        <w:rPr>
          <w:rFonts w:hint="eastAsia"/>
          <w:sz w:val="24"/>
          <w:szCs w:val="24"/>
          <w:rtl/>
        </w:rPr>
        <w:t>דין</w:t>
      </w:r>
      <w:r w:rsidRPr="00077A35">
        <w:rPr>
          <w:sz w:val="24"/>
          <w:szCs w:val="24"/>
          <w:rtl/>
        </w:rPr>
        <w:t xml:space="preserve"> </w:t>
      </w:r>
      <w:r w:rsidRPr="00077A35">
        <w:rPr>
          <w:rFonts w:hint="eastAsia"/>
          <w:sz w:val="24"/>
          <w:szCs w:val="24"/>
          <w:rtl/>
        </w:rPr>
        <w:t>או</w:t>
      </w:r>
      <w:r w:rsidRPr="00077A35">
        <w:rPr>
          <w:sz w:val="24"/>
          <w:szCs w:val="24"/>
          <w:rtl/>
        </w:rPr>
        <w:t xml:space="preserve"> </w:t>
      </w:r>
      <w:r w:rsidRPr="00077A35">
        <w:rPr>
          <w:rFonts w:hint="eastAsia"/>
          <w:sz w:val="24"/>
          <w:szCs w:val="24"/>
          <w:rtl/>
        </w:rPr>
        <w:t>הסכם</w:t>
      </w:r>
      <w:r w:rsidRPr="00077A35">
        <w:rPr>
          <w:sz w:val="24"/>
          <w:szCs w:val="24"/>
          <w:rtl/>
        </w:rPr>
        <w:t xml:space="preserve"> </w:t>
      </w:r>
      <w:r w:rsidRPr="00077A35">
        <w:rPr>
          <w:rFonts w:hint="eastAsia"/>
          <w:sz w:val="24"/>
          <w:szCs w:val="24"/>
          <w:rtl/>
        </w:rPr>
        <w:t>קיבוצי</w:t>
      </w:r>
      <w:r w:rsidRPr="00077A35">
        <w:rPr>
          <w:sz w:val="24"/>
          <w:szCs w:val="24"/>
          <w:rtl/>
        </w:rPr>
        <w:t>. לאור זאת, ו</w:t>
      </w:r>
      <w:r w:rsidRPr="00077A35">
        <w:rPr>
          <w:rFonts w:hint="eastAsia"/>
          <w:sz w:val="24"/>
          <w:szCs w:val="24"/>
          <w:rtl/>
        </w:rPr>
        <w:t>מאחר</w:t>
      </w:r>
      <w:r w:rsidRPr="00077A35">
        <w:rPr>
          <w:sz w:val="24"/>
          <w:szCs w:val="24"/>
          <w:rtl/>
        </w:rPr>
        <w:t xml:space="preserve"> </w:t>
      </w:r>
      <w:r w:rsidRPr="00077A35">
        <w:rPr>
          <w:rFonts w:hint="eastAsia"/>
          <w:sz w:val="24"/>
          <w:szCs w:val="24"/>
          <w:rtl/>
        </w:rPr>
        <w:t>שעובדים</w:t>
      </w:r>
      <w:r w:rsidRPr="00077A35">
        <w:rPr>
          <w:sz w:val="24"/>
          <w:szCs w:val="24"/>
          <w:rtl/>
        </w:rPr>
        <w:t xml:space="preserve"> </w:t>
      </w:r>
      <w:r w:rsidRPr="00077A35">
        <w:rPr>
          <w:rFonts w:hint="eastAsia"/>
          <w:sz w:val="24"/>
          <w:szCs w:val="24"/>
          <w:rtl/>
        </w:rPr>
        <w:t>נאלצו</w:t>
      </w:r>
      <w:r w:rsidRPr="00077A35">
        <w:rPr>
          <w:sz w:val="24"/>
          <w:szCs w:val="24"/>
          <w:rtl/>
        </w:rPr>
        <w:t xml:space="preserve"> להיעדר </w:t>
      </w:r>
      <w:r w:rsidRPr="00077A35">
        <w:rPr>
          <w:rFonts w:hint="eastAsia"/>
          <w:sz w:val="24"/>
          <w:szCs w:val="24"/>
          <w:rtl/>
        </w:rPr>
        <w:t>מעבודתם</w:t>
      </w:r>
      <w:r w:rsidRPr="00077A35">
        <w:rPr>
          <w:sz w:val="24"/>
          <w:szCs w:val="24"/>
          <w:rtl/>
        </w:rPr>
        <w:t xml:space="preserve"> </w:t>
      </w:r>
      <w:r w:rsidRPr="00077A35">
        <w:rPr>
          <w:rFonts w:hint="eastAsia"/>
          <w:sz w:val="24"/>
          <w:szCs w:val="24"/>
          <w:rtl/>
        </w:rPr>
        <w:t>בתקופה</w:t>
      </w:r>
      <w:r w:rsidRPr="00077A35">
        <w:rPr>
          <w:sz w:val="24"/>
          <w:szCs w:val="24"/>
          <w:rtl/>
        </w:rPr>
        <w:t xml:space="preserve"> </w:t>
      </w:r>
      <w:r w:rsidRPr="00077A35">
        <w:rPr>
          <w:rFonts w:hint="eastAsia"/>
          <w:sz w:val="24"/>
          <w:szCs w:val="24"/>
          <w:rtl/>
        </w:rPr>
        <w:t>הקובעת</w:t>
      </w:r>
      <w:r w:rsidRPr="00077A35">
        <w:rPr>
          <w:sz w:val="24"/>
          <w:szCs w:val="24"/>
          <w:rtl/>
        </w:rPr>
        <w:t xml:space="preserve"> </w:t>
      </w:r>
      <w:r w:rsidRPr="00077A35">
        <w:rPr>
          <w:rFonts w:hint="eastAsia"/>
          <w:sz w:val="24"/>
          <w:szCs w:val="24"/>
          <w:rtl/>
        </w:rPr>
        <w:t>בשל</w:t>
      </w:r>
      <w:r w:rsidRPr="00077A35">
        <w:rPr>
          <w:sz w:val="24"/>
          <w:szCs w:val="24"/>
          <w:rtl/>
        </w:rPr>
        <w:t xml:space="preserve"> </w:t>
      </w:r>
      <w:r w:rsidRPr="00077A35">
        <w:rPr>
          <w:rFonts w:hint="cs"/>
          <w:sz w:val="24"/>
          <w:szCs w:val="24"/>
          <w:rtl/>
        </w:rPr>
        <w:t>הוראה מ</w:t>
      </w:r>
      <w:r w:rsidRPr="00077A35">
        <w:rPr>
          <w:rFonts w:hint="eastAsia"/>
          <w:sz w:val="24"/>
          <w:szCs w:val="24"/>
          <w:rtl/>
        </w:rPr>
        <w:t>הוראות</w:t>
      </w:r>
      <w:r w:rsidRPr="00077A35">
        <w:rPr>
          <w:sz w:val="24"/>
          <w:szCs w:val="24"/>
          <w:rtl/>
        </w:rPr>
        <w:t xml:space="preserve"> </w:t>
      </w:r>
      <w:r w:rsidRPr="00077A35">
        <w:rPr>
          <w:rFonts w:hint="eastAsia"/>
          <w:sz w:val="24"/>
          <w:szCs w:val="24"/>
          <w:rtl/>
        </w:rPr>
        <w:t>הניתנות</w:t>
      </w:r>
      <w:r w:rsidRPr="00077A35">
        <w:rPr>
          <w:sz w:val="24"/>
          <w:szCs w:val="24"/>
          <w:rtl/>
        </w:rPr>
        <w:t xml:space="preserve"> </w:t>
      </w:r>
      <w:r w:rsidRPr="00077A35">
        <w:rPr>
          <w:rFonts w:hint="eastAsia"/>
          <w:sz w:val="24"/>
          <w:szCs w:val="24"/>
          <w:rtl/>
        </w:rPr>
        <w:t>לפי</w:t>
      </w:r>
      <w:r w:rsidRPr="00077A35">
        <w:rPr>
          <w:sz w:val="24"/>
          <w:szCs w:val="24"/>
          <w:rtl/>
        </w:rPr>
        <w:t xml:space="preserve"> </w:t>
      </w:r>
      <w:r w:rsidRPr="00077A35">
        <w:rPr>
          <w:rFonts w:hint="eastAsia"/>
          <w:sz w:val="24"/>
          <w:szCs w:val="24"/>
          <w:rtl/>
        </w:rPr>
        <w:t>חוק</w:t>
      </w:r>
      <w:r w:rsidRPr="00077A35">
        <w:rPr>
          <w:sz w:val="24"/>
          <w:szCs w:val="24"/>
          <w:rtl/>
        </w:rPr>
        <w:t xml:space="preserve"> </w:t>
      </w:r>
      <w:r w:rsidRPr="00077A35">
        <w:rPr>
          <w:rFonts w:hint="eastAsia"/>
          <w:sz w:val="24"/>
          <w:szCs w:val="24"/>
          <w:rtl/>
        </w:rPr>
        <w:t>ההתגוננות</w:t>
      </w:r>
      <w:r w:rsidRPr="00077A35">
        <w:rPr>
          <w:sz w:val="24"/>
          <w:szCs w:val="24"/>
          <w:rtl/>
        </w:rPr>
        <w:t xml:space="preserve"> </w:t>
      </w:r>
      <w:r w:rsidRPr="00077A35">
        <w:rPr>
          <w:rFonts w:hint="eastAsia"/>
          <w:sz w:val="24"/>
          <w:szCs w:val="24"/>
          <w:rtl/>
        </w:rPr>
        <w:t>האזרחית</w:t>
      </w:r>
      <w:r w:rsidRPr="00077A35">
        <w:rPr>
          <w:sz w:val="24"/>
          <w:szCs w:val="24"/>
          <w:rtl/>
        </w:rPr>
        <w:t xml:space="preserve">, </w:t>
      </w:r>
      <w:r w:rsidRPr="00077A35">
        <w:rPr>
          <w:rFonts w:hint="eastAsia"/>
          <w:sz w:val="24"/>
          <w:szCs w:val="24"/>
          <w:rtl/>
        </w:rPr>
        <w:t>התשי</w:t>
      </w:r>
      <w:r w:rsidRPr="00077A35">
        <w:rPr>
          <w:sz w:val="24"/>
          <w:szCs w:val="24"/>
          <w:rtl/>
        </w:rPr>
        <w:t xml:space="preserve">"א-1951 </w:t>
      </w:r>
      <w:r w:rsidRPr="00077A35">
        <w:rPr>
          <w:rFonts w:hint="eastAsia"/>
          <w:sz w:val="24"/>
          <w:szCs w:val="24"/>
          <w:rtl/>
        </w:rPr>
        <w:t>או</w:t>
      </w:r>
      <w:r w:rsidRPr="00077A35">
        <w:rPr>
          <w:sz w:val="24"/>
          <w:szCs w:val="24"/>
          <w:rtl/>
        </w:rPr>
        <w:t xml:space="preserve"> </w:t>
      </w:r>
      <w:r w:rsidRPr="00077A35">
        <w:rPr>
          <w:rFonts w:hint="eastAsia"/>
          <w:sz w:val="24"/>
          <w:szCs w:val="24"/>
          <w:rtl/>
        </w:rPr>
        <w:t>מפאת</w:t>
      </w:r>
      <w:r w:rsidRPr="00077A35">
        <w:rPr>
          <w:sz w:val="24"/>
          <w:szCs w:val="24"/>
          <w:rtl/>
        </w:rPr>
        <w:t xml:space="preserve"> </w:t>
      </w:r>
      <w:r w:rsidRPr="00077A35">
        <w:rPr>
          <w:rFonts w:hint="eastAsia"/>
          <w:sz w:val="24"/>
          <w:szCs w:val="24"/>
          <w:rtl/>
        </w:rPr>
        <w:t>הוראת</w:t>
      </w:r>
      <w:r w:rsidRPr="00077A35">
        <w:rPr>
          <w:sz w:val="24"/>
          <w:szCs w:val="24"/>
          <w:rtl/>
        </w:rPr>
        <w:t xml:space="preserve"> </w:t>
      </w:r>
      <w:r w:rsidRPr="00077A35">
        <w:rPr>
          <w:rFonts w:hint="eastAsia"/>
          <w:sz w:val="24"/>
          <w:szCs w:val="24"/>
          <w:rtl/>
        </w:rPr>
        <w:t>שניתנה</w:t>
      </w:r>
      <w:r w:rsidRPr="00077A35">
        <w:rPr>
          <w:sz w:val="24"/>
          <w:szCs w:val="24"/>
          <w:rtl/>
        </w:rPr>
        <w:t xml:space="preserve"> </w:t>
      </w:r>
      <w:r w:rsidRPr="00077A35">
        <w:rPr>
          <w:rFonts w:hint="eastAsia"/>
          <w:sz w:val="24"/>
          <w:szCs w:val="24"/>
          <w:rtl/>
        </w:rPr>
        <w:t>על</w:t>
      </w:r>
      <w:r w:rsidRPr="00077A35">
        <w:rPr>
          <w:sz w:val="24"/>
          <w:szCs w:val="24"/>
          <w:rtl/>
        </w:rPr>
        <w:t xml:space="preserve"> </w:t>
      </w:r>
      <w:r w:rsidRPr="00077A35">
        <w:rPr>
          <w:rFonts w:hint="eastAsia"/>
          <w:sz w:val="24"/>
          <w:szCs w:val="24"/>
          <w:rtl/>
        </w:rPr>
        <w:t>ידי</w:t>
      </w:r>
      <w:r w:rsidRPr="00077A35">
        <w:rPr>
          <w:sz w:val="24"/>
          <w:szCs w:val="24"/>
          <w:rtl/>
        </w:rPr>
        <w:t xml:space="preserve"> </w:t>
      </w:r>
      <w:r w:rsidRPr="00077A35">
        <w:rPr>
          <w:rFonts w:hint="eastAsia"/>
          <w:sz w:val="24"/>
          <w:szCs w:val="24"/>
          <w:rtl/>
        </w:rPr>
        <w:t>גורם</w:t>
      </w:r>
      <w:r w:rsidRPr="00077A35">
        <w:rPr>
          <w:sz w:val="24"/>
          <w:szCs w:val="24"/>
          <w:rtl/>
        </w:rPr>
        <w:t xml:space="preserve"> </w:t>
      </w:r>
      <w:r w:rsidRPr="00077A35">
        <w:rPr>
          <w:rFonts w:hint="eastAsia"/>
          <w:sz w:val="24"/>
          <w:szCs w:val="24"/>
          <w:rtl/>
        </w:rPr>
        <w:t>מוסמך</w:t>
      </w:r>
      <w:r w:rsidRPr="00077A35">
        <w:rPr>
          <w:sz w:val="24"/>
          <w:szCs w:val="24"/>
          <w:rtl/>
        </w:rPr>
        <w:t xml:space="preserve"> </w:t>
      </w:r>
      <w:r w:rsidRPr="00077A35">
        <w:rPr>
          <w:rFonts w:hint="eastAsia"/>
          <w:sz w:val="24"/>
          <w:szCs w:val="24"/>
          <w:rtl/>
        </w:rPr>
        <w:t>כאמור</w:t>
      </w:r>
      <w:r w:rsidRPr="00077A35">
        <w:rPr>
          <w:sz w:val="24"/>
          <w:szCs w:val="24"/>
          <w:rtl/>
        </w:rPr>
        <w:t xml:space="preserve"> </w:t>
      </w:r>
      <w:r w:rsidRPr="00077A35">
        <w:rPr>
          <w:rFonts w:hint="eastAsia"/>
          <w:sz w:val="24"/>
          <w:szCs w:val="24"/>
          <w:rtl/>
        </w:rPr>
        <w:t>בסעיף</w:t>
      </w:r>
      <w:r w:rsidRPr="00077A35">
        <w:rPr>
          <w:sz w:val="24"/>
          <w:szCs w:val="24"/>
          <w:rtl/>
        </w:rPr>
        <w:t xml:space="preserve"> 2(ב)(1) </w:t>
      </w:r>
      <w:r w:rsidRPr="00077A35">
        <w:rPr>
          <w:rFonts w:hint="eastAsia"/>
          <w:sz w:val="24"/>
          <w:szCs w:val="24"/>
          <w:rtl/>
        </w:rPr>
        <w:t>לחוק</w:t>
      </w:r>
      <w:r w:rsidRPr="00077A35">
        <w:rPr>
          <w:sz w:val="24"/>
          <w:szCs w:val="24"/>
          <w:rtl/>
        </w:rPr>
        <w:t xml:space="preserve"> </w:t>
      </w:r>
      <w:r w:rsidRPr="00077A35">
        <w:rPr>
          <w:rFonts w:hint="eastAsia"/>
          <w:sz w:val="24"/>
          <w:szCs w:val="24"/>
          <w:rtl/>
        </w:rPr>
        <w:t>הגנה</w:t>
      </w:r>
      <w:r w:rsidRPr="00077A35">
        <w:rPr>
          <w:sz w:val="24"/>
          <w:szCs w:val="24"/>
          <w:rtl/>
        </w:rPr>
        <w:t xml:space="preserve"> </w:t>
      </w:r>
      <w:r w:rsidRPr="00077A35">
        <w:rPr>
          <w:rFonts w:hint="eastAsia"/>
          <w:sz w:val="24"/>
          <w:szCs w:val="24"/>
          <w:rtl/>
        </w:rPr>
        <w:t>על</w:t>
      </w:r>
      <w:r w:rsidRPr="00077A35">
        <w:rPr>
          <w:sz w:val="24"/>
          <w:szCs w:val="24"/>
          <w:rtl/>
        </w:rPr>
        <w:t xml:space="preserve"> </w:t>
      </w:r>
      <w:r w:rsidRPr="00077A35">
        <w:rPr>
          <w:rFonts w:hint="eastAsia"/>
          <w:sz w:val="24"/>
          <w:szCs w:val="24"/>
          <w:rtl/>
        </w:rPr>
        <w:t>עובדים</w:t>
      </w:r>
      <w:r w:rsidRPr="00077A35">
        <w:rPr>
          <w:sz w:val="24"/>
          <w:szCs w:val="24"/>
          <w:rtl/>
        </w:rPr>
        <w:t xml:space="preserve"> </w:t>
      </w:r>
      <w:r w:rsidRPr="00077A35">
        <w:rPr>
          <w:rFonts w:hint="eastAsia"/>
          <w:sz w:val="24"/>
          <w:szCs w:val="24"/>
          <w:rtl/>
        </w:rPr>
        <w:t>בשעת</w:t>
      </w:r>
      <w:r w:rsidRPr="00077A35">
        <w:rPr>
          <w:sz w:val="24"/>
          <w:szCs w:val="24"/>
          <w:rtl/>
        </w:rPr>
        <w:t xml:space="preserve"> </w:t>
      </w:r>
      <w:r w:rsidRPr="00077A35">
        <w:rPr>
          <w:rFonts w:hint="eastAsia"/>
          <w:sz w:val="24"/>
          <w:szCs w:val="24"/>
          <w:rtl/>
        </w:rPr>
        <w:t>חירום</w:t>
      </w:r>
      <w:r w:rsidRPr="00077A35">
        <w:rPr>
          <w:sz w:val="24"/>
          <w:szCs w:val="24"/>
          <w:rtl/>
        </w:rPr>
        <w:t xml:space="preserve">, </w:t>
      </w:r>
      <w:r w:rsidRPr="00077A35">
        <w:rPr>
          <w:rFonts w:hint="eastAsia"/>
          <w:sz w:val="24"/>
          <w:szCs w:val="24"/>
          <w:rtl/>
        </w:rPr>
        <w:t>התשס</w:t>
      </w:r>
      <w:r w:rsidRPr="00077A35">
        <w:rPr>
          <w:sz w:val="24"/>
          <w:szCs w:val="24"/>
          <w:rtl/>
        </w:rPr>
        <w:t xml:space="preserve">"ו-2006, </w:t>
      </w:r>
      <w:r w:rsidRPr="00077A35">
        <w:rPr>
          <w:rFonts w:hint="eastAsia"/>
          <w:sz w:val="24"/>
          <w:szCs w:val="24"/>
          <w:rtl/>
        </w:rPr>
        <w:t>מוצע</w:t>
      </w:r>
      <w:r w:rsidRPr="00077A35">
        <w:rPr>
          <w:sz w:val="24"/>
          <w:szCs w:val="24"/>
          <w:rtl/>
        </w:rPr>
        <w:t xml:space="preserve"> </w:t>
      </w:r>
      <w:r w:rsidRPr="00077A35">
        <w:rPr>
          <w:rFonts w:hint="eastAsia"/>
          <w:sz w:val="24"/>
          <w:szCs w:val="24"/>
          <w:rtl/>
        </w:rPr>
        <w:t>להבהיר</w:t>
      </w:r>
      <w:r w:rsidRPr="00077A35">
        <w:rPr>
          <w:sz w:val="24"/>
          <w:szCs w:val="24"/>
          <w:rtl/>
        </w:rPr>
        <w:t xml:space="preserve"> </w:t>
      </w:r>
      <w:r w:rsidRPr="00077A35">
        <w:rPr>
          <w:rFonts w:hint="eastAsia"/>
          <w:sz w:val="24"/>
          <w:szCs w:val="24"/>
          <w:rtl/>
        </w:rPr>
        <w:t>כי</w:t>
      </w:r>
      <w:r w:rsidRPr="00077A35">
        <w:rPr>
          <w:sz w:val="24"/>
          <w:szCs w:val="24"/>
          <w:rtl/>
        </w:rPr>
        <w:t xml:space="preserve"> </w:t>
      </w:r>
      <w:r w:rsidRPr="00077A35">
        <w:rPr>
          <w:rFonts w:hint="eastAsia"/>
          <w:sz w:val="24"/>
          <w:szCs w:val="24"/>
          <w:rtl/>
        </w:rPr>
        <w:t>אין</w:t>
      </w:r>
      <w:r w:rsidRPr="00077A35">
        <w:rPr>
          <w:sz w:val="24"/>
          <w:szCs w:val="24"/>
          <w:rtl/>
        </w:rPr>
        <w:t xml:space="preserve"> </w:t>
      </w:r>
      <w:r w:rsidRPr="00077A35">
        <w:rPr>
          <w:rFonts w:hint="eastAsia"/>
          <w:sz w:val="24"/>
          <w:szCs w:val="24"/>
          <w:rtl/>
        </w:rPr>
        <w:t>לראות</w:t>
      </w:r>
      <w:r w:rsidRPr="00077A35">
        <w:rPr>
          <w:sz w:val="24"/>
          <w:szCs w:val="24"/>
          <w:rtl/>
        </w:rPr>
        <w:t xml:space="preserve"> </w:t>
      </w:r>
      <w:r w:rsidRPr="00077A35">
        <w:rPr>
          <w:rFonts w:hint="eastAsia"/>
          <w:sz w:val="24"/>
          <w:szCs w:val="24"/>
          <w:rtl/>
        </w:rPr>
        <w:t>בהיעדרות</w:t>
      </w:r>
      <w:r w:rsidRPr="00077A35">
        <w:rPr>
          <w:sz w:val="24"/>
          <w:szCs w:val="24"/>
          <w:rtl/>
        </w:rPr>
        <w:t xml:space="preserve"> </w:t>
      </w:r>
      <w:r w:rsidRPr="00077A35">
        <w:rPr>
          <w:rFonts w:hint="eastAsia"/>
          <w:sz w:val="24"/>
          <w:szCs w:val="24"/>
          <w:rtl/>
        </w:rPr>
        <w:t>בנסיבות</w:t>
      </w:r>
      <w:r w:rsidRPr="00077A35">
        <w:rPr>
          <w:sz w:val="24"/>
          <w:szCs w:val="24"/>
          <w:rtl/>
        </w:rPr>
        <w:t xml:space="preserve"> </w:t>
      </w:r>
      <w:r w:rsidRPr="00077A35">
        <w:rPr>
          <w:rFonts w:hint="eastAsia"/>
          <w:sz w:val="24"/>
          <w:szCs w:val="24"/>
          <w:rtl/>
        </w:rPr>
        <w:t>אלה</w:t>
      </w:r>
      <w:r w:rsidRPr="00077A35">
        <w:rPr>
          <w:sz w:val="24"/>
          <w:szCs w:val="24"/>
          <w:rtl/>
        </w:rPr>
        <w:t xml:space="preserve">, </w:t>
      </w:r>
      <w:r w:rsidRPr="00077A35">
        <w:rPr>
          <w:rFonts w:hint="eastAsia"/>
          <w:sz w:val="24"/>
          <w:szCs w:val="24"/>
          <w:rtl/>
        </w:rPr>
        <w:t>ובכלל</w:t>
      </w:r>
      <w:r w:rsidRPr="00077A35">
        <w:rPr>
          <w:sz w:val="24"/>
          <w:szCs w:val="24"/>
          <w:rtl/>
        </w:rPr>
        <w:t xml:space="preserve"> זה בשל </w:t>
      </w:r>
      <w:r w:rsidRPr="00077A35">
        <w:rPr>
          <w:rFonts w:hint="eastAsia"/>
          <w:sz w:val="24"/>
          <w:szCs w:val="24"/>
          <w:rtl/>
        </w:rPr>
        <w:t>יציאת</w:t>
      </w:r>
      <w:r w:rsidRPr="00077A35">
        <w:rPr>
          <w:sz w:val="24"/>
          <w:szCs w:val="24"/>
          <w:rtl/>
        </w:rPr>
        <w:t xml:space="preserve"> </w:t>
      </w:r>
      <w:r w:rsidRPr="00077A35">
        <w:rPr>
          <w:rFonts w:hint="eastAsia"/>
          <w:sz w:val="24"/>
          <w:szCs w:val="24"/>
          <w:rtl/>
        </w:rPr>
        <w:t>עובד</w:t>
      </w:r>
      <w:r w:rsidRPr="00077A35">
        <w:rPr>
          <w:sz w:val="24"/>
          <w:szCs w:val="24"/>
          <w:rtl/>
        </w:rPr>
        <w:t xml:space="preserve"> </w:t>
      </w:r>
      <w:r w:rsidRPr="00077A35">
        <w:rPr>
          <w:rFonts w:hint="eastAsia"/>
          <w:sz w:val="24"/>
          <w:szCs w:val="24"/>
          <w:rtl/>
        </w:rPr>
        <w:t>או</w:t>
      </w:r>
      <w:r w:rsidRPr="00077A35">
        <w:rPr>
          <w:sz w:val="24"/>
          <w:szCs w:val="24"/>
          <w:rtl/>
        </w:rPr>
        <w:t xml:space="preserve"> </w:t>
      </w:r>
      <w:r w:rsidRPr="00077A35">
        <w:rPr>
          <w:rFonts w:hint="eastAsia"/>
          <w:sz w:val="24"/>
          <w:szCs w:val="24"/>
          <w:rtl/>
        </w:rPr>
        <w:t>עובדת</w:t>
      </w:r>
      <w:r w:rsidRPr="00077A35">
        <w:rPr>
          <w:sz w:val="24"/>
          <w:szCs w:val="24"/>
          <w:rtl/>
        </w:rPr>
        <w:t xml:space="preserve"> </w:t>
      </w:r>
      <w:r w:rsidRPr="00077A35">
        <w:rPr>
          <w:rFonts w:hint="eastAsia"/>
          <w:sz w:val="24"/>
          <w:szCs w:val="24"/>
          <w:rtl/>
        </w:rPr>
        <w:t>לחופשה</w:t>
      </w:r>
      <w:r w:rsidRPr="00077A35">
        <w:rPr>
          <w:sz w:val="24"/>
          <w:szCs w:val="24"/>
          <w:rtl/>
        </w:rPr>
        <w:t xml:space="preserve"> </w:t>
      </w:r>
      <w:r w:rsidRPr="00077A35">
        <w:rPr>
          <w:rFonts w:hint="eastAsia"/>
          <w:sz w:val="24"/>
          <w:szCs w:val="24"/>
          <w:rtl/>
        </w:rPr>
        <w:t>ללא</w:t>
      </w:r>
      <w:r w:rsidRPr="00077A35">
        <w:rPr>
          <w:sz w:val="24"/>
          <w:szCs w:val="24"/>
          <w:rtl/>
        </w:rPr>
        <w:t xml:space="preserve"> </w:t>
      </w:r>
      <w:r w:rsidRPr="00077A35">
        <w:rPr>
          <w:rFonts w:hint="eastAsia"/>
          <w:sz w:val="24"/>
          <w:szCs w:val="24"/>
          <w:rtl/>
        </w:rPr>
        <w:t>תשלום</w:t>
      </w:r>
      <w:r w:rsidRPr="00077A35">
        <w:rPr>
          <w:sz w:val="24"/>
          <w:szCs w:val="24"/>
          <w:rtl/>
        </w:rPr>
        <w:t xml:space="preserve">, </w:t>
      </w:r>
      <w:r w:rsidRPr="00077A35">
        <w:rPr>
          <w:rFonts w:hint="eastAsia"/>
          <w:sz w:val="24"/>
          <w:szCs w:val="24"/>
          <w:rtl/>
        </w:rPr>
        <w:t>בתקופה</w:t>
      </w:r>
      <w:r w:rsidRPr="00077A35">
        <w:rPr>
          <w:sz w:val="24"/>
          <w:szCs w:val="24"/>
          <w:rtl/>
        </w:rPr>
        <w:t xml:space="preserve"> </w:t>
      </w:r>
      <w:r w:rsidRPr="00077A35">
        <w:rPr>
          <w:rFonts w:hint="eastAsia"/>
          <w:sz w:val="24"/>
          <w:szCs w:val="24"/>
          <w:rtl/>
        </w:rPr>
        <w:t>הקובעת</w:t>
      </w:r>
      <w:r w:rsidRPr="00077A35">
        <w:rPr>
          <w:sz w:val="24"/>
          <w:szCs w:val="24"/>
          <w:rtl/>
        </w:rPr>
        <w:t xml:space="preserve">, </w:t>
      </w:r>
      <w:r w:rsidRPr="00077A35">
        <w:rPr>
          <w:rFonts w:hint="eastAsia"/>
          <w:sz w:val="24"/>
          <w:szCs w:val="24"/>
          <w:rtl/>
        </w:rPr>
        <w:t>כפגיעה</w:t>
      </w:r>
      <w:r w:rsidRPr="00077A35">
        <w:rPr>
          <w:sz w:val="24"/>
          <w:szCs w:val="24"/>
          <w:rtl/>
        </w:rPr>
        <w:t xml:space="preserve"> </w:t>
      </w:r>
      <w:r w:rsidRPr="00077A35">
        <w:rPr>
          <w:rFonts w:hint="eastAsia"/>
          <w:sz w:val="24"/>
          <w:szCs w:val="24"/>
          <w:rtl/>
        </w:rPr>
        <w:t>לפי</w:t>
      </w:r>
      <w:r w:rsidRPr="00077A35">
        <w:rPr>
          <w:sz w:val="24"/>
          <w:szCs w:val="24"/>
          <w:rtl/>
        </w:rPr>
        <w:t xml:space="preserve"> </w:t>
      </w:r>
      <w:r w:rsidRPr="00077A35">
        <w:rPr>
          <w:rFonts w:hint="eastAsia"/>
          <w:sz w:val="24"/>
          <w:szCs w:val="24"/>
          <w:rtl/>
        </w:rPr>
        <w:t>הסעיף</w:t>
      </w:r>
      <w:r w:rsidRPr="00077A35">
        <w:rPr>
          <w:sz w:val="24"/>
          <w:szCs w:val="24"/>
          <w:rtl/>
        </w:rPr>
        <w:t xml:space="preserve"> </w:t>
      </w:r>
      <w:r w:rsidRPr="00077A35">
        <w:rPr>
          <w:rFonts w:hint="eastAsia"/>
          <w:sz w:val="24"/>
          <w:szCs w:val="24"/>
          <w:rtl/>
        </w:rPr>
        <w:t>האמור</w:t>
      </w:r>
      <w:r w:rsidRPr="00077A35">
        <w:rPr>
          <w:sz w:val="24"/>
          <w:szCs w:val="24"/>
          <w:rtl/>
        </w:rPr>
        <w:t>.</w:t>
      </w:r>
    </w:p>
    <w:p w14:paraId="5F6B0187" w14:textId="388E9830" w:rsidR="00725FA1" w:rsidRDefault="00725FA1">
      <w:pPr>
        <w:rPr>
          <w:rtl/>
        </w:rPr>
      </w:pPr>
    </w:p>
    <w:p w14:paraId="55989BF1" w14:textId="13491BB0" w:rsidR="00B06C6E" w:rsidRPr="00B06C6E" w:rsidRDefault="004F422A" w:rsidP="00B06C6E">
      <w:pPr>
        <w:rPr>
          <w:rtl/>
        </w:rPr>
      </w:pPr>
      <w:r>
        <w:rPr>
          <w:rFonts w:hint="cs"/>
          <w:rtl/>
        </w:rPr>
        <w:t>יובהר ש</w:t>
      </w:r>
      <w:r w:rsidR="00B06C6E" w:rsidRPr="00B06C6E">
        <w:rPr>
          <w:rtl/>
        </w:rPr>
        <w:t>אין בהוראות סעי</w:t>
      </w:r>
      <w:r w:rsidR="00B06C6E" w:rsidRPr="00B06C6E">
        <w:rPr>
          <w:rFonts w:hint="cs"/>
          <w:rtl/>
        </w:rPr>
        <w:t xml:space="preserve">ף </w:t>
      </w:r>
      <w:r w:rsidR="00B06C6E" w:rsidRPr="00B06C6E">
        <w:rPr>
          <w:rtl/>
        </w:rPr>
        <w:t>6 לחוק זה</w:t>
      </w:r>
      <w:r w:rsidR="00B06C6E">
        <w:rPr>
          <w:rFonts w:hint="cs"/>
          <w:rtl/>
        </w:rPr>
        <w:t>, שעניינו תיקון חוק עבודת נשים - הוראת שעה,</w:t>
      </w:r>
      <w:r w:rsidR="00B06C6E" w:rsidRPr="00B06C6E">
        <w:rPr>
          <w:rtl/>
        </w:rPr>
        <w:t xml:space="preserve"> כדי לגרוע מאיסור על פגיעה בהיקף משרה או בהכנסה לפי פרק שביעי לחוק החיילים המשוחררים (החזרה לעבודה), התש"ט-1949</w:t>
      </w:r>
      <w:r w:rsidR="00B06C6E" w:rsidRPr="00B06C6E">
        <w:rPr>
          <w:rFonts w:hint="cs"/>
          <w:rtl/>
        </w:rPr>
        <w:t>,</w:t>
      </w:r>
      <w:r w:rsidR="00B06C6E" w:rsidRPr="00B06C6E">
        <w:rPr>
          <w:rtl/>
        </w:rPr>
        <w:t xml:space="preserve"> או לפי סימן א' לפרק שביעי לחוק משפחות חיילים שנספו במערכה (תגמולים ושיקום), התש"י–1950</w:t>
      </w:r>
      <w:r w:rsidR="00B06C6E" w:rsidRPr="00B06C6E">
        <w:rPr>
          <w:rFonts w:hint="cs"/>
          <w:rtl/>
        </w:rPr>
        <w:t>.</w:t>
      </w:r>
    </w:p>
    <w:p w14:paraId="427196B4" w14:textId="77777777" w:rsidR="00B06C6E" w:rsidRPr="00B06C6E" w:rsidRDefault="00B06C6E">
      <w:pPr>
        <w:rPr>
          <w:rtl/>
        </w:rPr>
      </w:pPr>
    </w:p>
    <w:p w14:paraId="7BE719B8" w14:textId="77777777" w:rsidR="00B80647" w:rsidRPr="00B80647" w:rsidRDefault="00B80647"/>
    <w:sectPr w:rsidR="00B80647" w:rsidRPr="00B80647" w:rsidSect="002E5B85">
      <w:pgSz w:w="11906" w:h="16838"/>
      <w:pgMar w:top="1701" w:right="1134" w:bottom="1417" w:left="1134"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67B444" w14:textId="77777777" w:rsidR="00EC2DB0" w:rsidRDefault="00EC2DB0" w:rsidP="004E4189">
      <w:pPr>
        <w:spacing w:line="240" w:lineRule="auto"/>
      </w:pPr>
      <w:r>
        <w:separator/>
      </w:r>
    </w:p>
  </w:endnote>
  <w:endnote w:type="continuationSeparator" w:id="0">
    <w:p w14:paraId="4B8CDE62" w14:textId="77777777" w:rsidR="00EC2DB0" w:rsidRDefault="00EC2DB0" w:rsidP="004E418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David">
    <w:altName w:val="David"/>
    <w:panose1 w:val="020E0502060401010101"/>
    <w:charset w:val="B1"/>
    <w:family w:val="swiss"/>
    <w:pitch w:val="variable"/>
    <w:sig w:usb0="00000803" w:usb1="00000000" w:usb2="00000000" w:usb3="00000000" w:csb0="00000021"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FrankRuehl">
    <w:panose1 w:val="020E0503060101010101"/>
    <w:charset w:val="B1"/>
    <w:family w:val="swiss"/>
    <w:pitch w:val="variable"/>
    <w:sig w:usb0="00000803" w:usb1="00000000" w:usb2="00000000" w:usb3="00000000" w:csb0="00000021" w:csb1="00000000"/>
  </w:font>
  <w:font w:name="Hadasa Roso SL">
    <w:altName w:val="Times New Roman"/>
    <w:panose1 w:val="020B0604020202020204"/>
    <w:charset w:val="00"/>
    <w:family w:val="roman"/>
    <w:pitch w:val="variable"/>
    <w:sig w:usb0="80001827" w:usb1="5000004A" w:usb2="00000020" w:usb3="00000000" w:csb0="00000021" w:csb1="00000000"/>
  </w:font>
  <w:font w:name="MS Mincho">
    <w:altName w:val="ＭＳ 明朝"/>
    <w:panose1 w:val="02020609040205080304"/>
    <w:charset w:val="80"/>
    <w:family w:val="modern"/>
    <w:pitch w:val="fixed"/>
    <w:sig w:usb0="E00002FF" w:usb1="6AC7FDFB" w:usb2="08000012" w:usb3="00000000" w:csb0="0002009F" w:csb1="00000000"/>
  </w:font>
  <w:font w:name="HadasaMFO">
    <w:altName w:val="Courier New"/>
    <w:panose1 w:val="020B0604020202020204"/>
    <w:charset w:val="B1"/>
    <w:family w:val="auto"/>
    <w:pitch w:val="variable"/>
    <w:sig w:usb0="00000800" w:usb1="40000000" w:usb2="00000000" w:usb3="00000000" w:csb0="0000002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66B365" w14:textId="77777777" w:rsidR="00EC2DB0" w:rsidRDefault="00EC2DB0" w:rsidP="004E4189">
      <w:pPr>
        <w:spacing w:line="240" w:lineRule="auto"/>
      </w:pPr>
      <w:r>
        <w:separator/>
      </w:r>
    </w:p>
  </w:footnote>
  <w:footnote w:type="continuationSeparator" w:id="0">
    <w:p w14:paraId="67318861" w14:textId="77777777" w:rsidR="00EC2DB0" w:rsidRDefault="00EC2DB0" w:rsidP="004E4189">
      <w:pPr>
        <w:spacing w:line="240" w:lineRule="auto"/>
      </w:pPr>
      <w:r>
        <w:continuationSeparator/>
      </w:r>
    </w:p>
  </w:footnote>
  <w:footnote w:id="1">
    <w:p w14:paraId="10A5EE22" w14:textId="5BB43836" w:rsidR="00D94654" w:rsidRDefault="00D94654">
      <w:pPr>
        <w:pStyle w:val="a6"/>
      </w:pPr>
      <w:r>
        <w:rPr>
          <w:rStyle w:val="a8"/>
        </w:rPr>
        <w:footnoteRef/>
      </w:r>
      <w:r>
        <w:rPr>
          <w:rtl/>
        </w:rPr>
        <w:t xml:space="preserve"> </w:t>
      </w:r>
      <w:r>
        <w:rPr>
          <w:rFonts w:hint="cs"/>
          <w:rtl/>
        </w:rPr>
        <w:t xml:space="preserve">ס"ח התשנ"ה, </w:t>
      </w:r>
      <w:r w:rsidRPr="00025C7E">
        <w:rPr>
          <w:rFonts w:hint="cs"/>
          <w:rtl/>
        </w:rPr>
        <w:t>עמ' 210; התשפ"ה, עמ' 678.</w:t>
      </w:r>
    </w:p>
  </w:footnote>
  <w:footnote w:id="2">
    <w:p w14:paraId="4D0A9402" w14:textId="77777777" w:rsidR="001908BB" w:rsidRDefault="001908BB" w:rsidP="009F44F3">
      <w:pPr>
        <w:pStyle w:val="a6"/>
        <w:rPr>
          <w:rtl/>
        </w:rPr>
      </w:pPr>
      <w:r w:rsidRPr="00025C7E">
        <w:rPr>
          <w:rStyle w:val="a8"/>
        </w:rPr>
        <w:footnoteRef/>
      </w:r>
      <w:r w:rsidRPr="00025C7E">
        <w:rPr>
          <w:rtl/>
        </w:rPr>
        <w:t xml:space="preserve"> </w:t>
      </w:r>
      <w:r w:rsidRPr="00025C7E">
        <w:rPr>
          <w:rFonts w:hint="eastAsia"/>
          <w:rtl/>
        </w:rPr>
        <w:t>ס</w:t>
      </w:r>
      <w:r w:rsidRPr="00025C7E">
        <w:rPr>
          <w:rtl/>
        </w:rPr>
        <w:t xml:space="preserve">"ח </w:t>
      </w:r>
      <w:r w:rsidRPr="00025C7E">
        <w:rPr>
          <w:rtl/>
        </w:rPr>
        <w:t xml:space="preserve">התש"ף, עמ' </w:t>
      </w:r>
      <w:r w:rsidRPr="00025C7E">
        <w:rPr>
          <w:rFonts w:hint="cs"/>
          <w:rtl/>
        </w:rPr>
        <w:t>158</w:t>
      </w:r>
      <w:r w:rsidRPr="00025C7E">
        <w:rPr>
          <w:rtl/>
        </w:rPr>
        <w:t>; התשפ"ד, עמ' 107.</w:t>
      </w:r>
    </w:p>
  </w:footnote>
  <w:footnote w:id="3">
    <w:p w14:paraId="6A43ED50" w14:textId="6AC92C09" w:rsidR="00F956AC" w:rsidRDefault="00F956AC">
      <w:pPr>
        <w:pStyle w:val="a6"/>
        <w:rPr>
          <w:rtl/>
        </w:rPr>
      </w:pPr>
      <w:r>
        <w:rPr>
          <w:rStyle w:val="a8"/>
        </w:rPr>
        <w:footnoteRef/>
      </w:r>
      <w:r>
        <w:rPr>
          <w:rtl/>
        </w:rPr>
        <w:t xml:space="preserve"> </w:t>
      </w:r>
      <w:r>
        <w:rPr>
          <w:rFonts w:hint="cs"/>
          <w:rtl/>
        </w:rPr>
        <w:t xml:space="preserve">ס"ח </w:t>
      </w:r>
      <w:r>
        <w:rPr>
          <w:rFonts w:hint="cs"/>
          <w:rtl/>
        </w:rPr>
        <w:t>התשי"ד, עמ' 154; התשפ"ה, עמ' 212.</w:t>
      </w:r>
    </w:p>
  </w:footnote>
  <w:footnote w:id="4">
    <w:p w14:paraId="129D925D" w14:textId="77777777" w:rsidR="001908BB" w:rsidRDefault="001908BB" w:rsidP="001033C2">
      <w:pPr>
        <w:pStyle w:val="a6"/>
        <w:rPr>
          <w:rtl/>
        </w:rPr>
      </w:pPr>
      <w:r>
        <w:rPr>
          <w:rStyle w:val="a8"/>
        </w:rPr>
        <w:footnoteRef/>
      </w:r>
      <w:r>
        <w:rPr>
          <w:rtl/>
        </w:rPr>
        <w:t xml:space="preserve"> </w:t>
      </w:r>
      <w:r>
        <w:rPr>
          <w:rFonts w:hint="eastAsia"/>
          <w:rtl/>
        </w:rPr>
        <w:t>ס</w:t>
      </w:r>
      <w:r>
        <w:rPr>
          <w:rtl/>
        </w:rPr>
        <w:t xml:space="preserve">"ח </w:t>
      </w:r>
      <w:r>
        <w:rPr>
          <w:rtl/>
        </w:rPr>
        <w:t>התשס"ו, עמ' 396.</w:t>
      </w:r>
    </w:p>
  </w:footnote>
  <w:footnote w:id="5">
    <w:p w14:paraId="6A866378" w14:textId="77777777" w:rsidR="00B06C6E" w:rsidRDefault="00B06C6E">
      <w:pPr>
        <w:pStyle w:val="a6"/>
        <w:rPr>
          <w:rtl/>
        </w:rPr>
      </w:pPr>
      <w:r>
        <w:rPr>
          <w:rStyle w:val="a8"/>
        </w:rPr>
        <w:footnoteRef/>
      </w:r>
      <w:r>
        <w:rPr>
          <w:rtl/>
        </w:rPr>
        <w:t xml:space="preserve"> </w:t>
      </w:r>
      <w:r>
        <w:rPr>
          <w:rFonts w:hint="cs"/>
          <w:rtl/>
        </w:rPr>
        <w:t xml:space="preserve">ס"ח </w:t>
      </w:r>
      <w:r>
        <w:rPr>
          <w:rFonts w:hint="cs"/>
          <w:rtl/>
        </w:rPr>
        <w:t>התש"ט, עמ' 13.</w:t>
      </w:r>
    </w:p>
  </w:footnote>
  <w:footnote w:id="6">
    <w:p w14:paraId="40A2D75F" w14:textId="77777777" w:rsidR="00B06C6E" w:rsidRDefault="00B06C6E">
      <w:pPr>
        <w:pStyle w:val="a6"/>
      </w:pPr>
      <w:r>
        <w:rPr>
          <w:rStyle w:val="a8"/>
        </w:rPr>
        <w:footnoteRef/>
      </w:r>
      <w:r>
        <w:rPr>
          <w:rtl/>
        </w:rPr>
        <w:t xml:space="preserve"> </w:t>
      </w:r>
      <w:r>
        <w:rPr>
          <w:rFonts w:hint="cs"/>
          <w:rtl/>
        </w:rPr>
        <w:t xml:space="preserve">ס"ח </w:t>
      </w:r>
      <w:r>
        <w:rPr>
          <w:rFonts w:hint="cs"/>
          <w:rtl/>
        </w:rPr>
        <w:t>התש"י, עמ' 162.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14866"/>
    <w:multiLevelType w:val="hybridMultilevel"/>
    <w:tmpl w:val="72E06DE4"/>
    <w:lvl w:ilvl="0" w:tplc="3BB4DF3E">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1B6CCE"/>
    <w:multiLevelType w:val="hybridMultilevel"/>
    <w:tmpl w:val="EAE05580"/>
    <w:lvl w:ilvl="0" w:tplc="31BC4D26">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C95DFF"/>
    <w:multiLevelType w:val="hybridMultilevel"/>
    <w:tmpl w:val="A3C445FC"/>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561C75"/>
    <w:multiLevelType w:val="hybridMultilevel"/>
    <w:tmpl w:val="D1A4FB32"/>
    <w:lvl w:ilvl="0" w:tplc="3988953A">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7C74B2"/>
    <w:multiLevelType w:val="hybridMultilevel"/>
    <w:tmpl w:val="5EF8A346"/>
    <w:lvl w:ilvl="0" w:tplc="3D86C2F2">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92E5DA3"/>
    <w:multiLevelType w:val="hybridMultilevel"/>
    <w:tmpl w:val="A552B9F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45383122"/>
    <w:multiLevelType w:val="hybridMultilevel"/>
    <w:tmpl w:val="55D8CC7E"/>
    <w:lvl w:ilvl="0" w:tplc="8BA84C74">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C121174"/>
    <w:multiLevelType w:val="multilevel"/>
    <w:tmpl w:val="C2DAD572"/>
    <w:styleLink w:val="1"/>
    <w:lvl w:ilvl="0">
      <w:start w:val="1"/>
      <w:numFmt w:val="hebrew1"/>
      <w:lvlRestart w:val="0"/>
      <w:lvlText w:val="(%1)"/>
      <w:lvlJc w:val="left"/>
      <w:pPr>
        <w:tabs>
          <w:tab w:val="num" w:pos="624"/>
        </w:tabs>
        <w:ind w:left="0" w:firstLine="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55A2B35"/>
    <w:multiLevelType w:val="hybridMultilevel"/>
    <w:tmpl w:val="F61ADD04"/>
    <w:lvl w:ilvl="0" w:tplc="EFC26F30">
      <w:start w:val="1"/>
      <w:numFmt w:val="hebrew1"/>
      <w:pStyle w:val="4"/>
      <w:suff w:val="space"/>
      <w:lvlText w:val="%1."/>
      <w:lvlJc w:val="left"/>
      <w:pPr>
        <w:ind w:left="0" w:firstLine="0"/>
      </w:pPr>
      <w:rPr>
        <w:rFonts w:hint="default"/>
      </w:rPr>
    </w:lvl>
    <w:lvl w:ilvl="1" w:tplc="D3D4E8B2">
      <w:start w:val="1"/>
      <w:numFmt w:val="decimal"/>
      <w:lvlText w:val="(%2)"/>
      <w:lvlJc w:val="left"/>
      <w:pPr>
        <w:tabs>
          <w:tab w:val="num" w:pos="624"/>
        </w:tabs>
        <w:ind w:left="0" w:firstLine="0"/>
      </w:pPr>
      <w:rPr>
        <w:rFonts w:hint="default"/>
      </w:rPr>
    </w:lvl>
    <w:lvl w:ilvl="2" w:tplc="5D2AB1E4">
      <w:start w:val="1"/>
      <w:numFmt w:val="hebrew1"/>
      <w:lvlText w:val="(%3)"/>
      <w:lvlJc w:val="left"/>
      <w:pPr>
        <w:tabs>
          <w:tab w:val="num" w:pos="624"/>
        </w:tabs>
        <w:ind w:left="0" w:firstLine="0"/>
      </w:pPr>
      <w:rPr>
        <w:rFonts w:hint="default"/>
      </w:rPr>
    </w:lvl>
    <w:lvl w:ilvl="3" w:tplc="1F820BA4">
      <w:start w:val="1"/>
      <w:numFmt w:val="hebrew1"/>
      <w:lvlRestart w:val="0"/>
      <w:lvlText w:val="(%4)"/>
      <w:lvlJc w:val="left"/>
      <w:pPr>
        <w:tabs>
          <w:tab w:val="num" w:pos="624"/>
        </w:tabs>
        <w:ind w:left="0" w:firstLine="0"/>
      </w:pPr>
      <w:rPr>
        <w:rFonts w:hint="default"/>
      </w:rPr>
    </w:lvl>
    <w:lvl w:ilvl="4" w:tplc="62C6E096">
      <w:start w:val="1"/>
      <w:numFmt w:val="decimal"/>
      <w:lvlRestart w:val="0"/>
      <w:lvlText w:val="(%5)"/>
      <w:lvlJc w:val="left"/>
      <w:pPr>
        <w:tabs>
          <w:tab w:val="num" w:pos="3864"/>
        </w:tabs>
        <w:ind w:left="3240" w:firstLine="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571C2090"/>
    <w:multiLevelType w:val="hybridMultilevel"/>
    <w:tmpl w:val="BE9AB8C8"/>
    <w:lvl w:ilvl="0" w:tplc="C4E64C96">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7AE77F7"/>
    <w:multiLevelType w:val="hybridMultilevel"/>
    <w:tmpl w:val="D1CC2AEE"/>
    <w:lvl w:ilvl="0" w:tplc="747E8678">
      <w:start w:val="1"/>
      <w:numFmt w:val="decimal"/>
      <w:pStyle w:val="a"/>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5B3B28B0"/>
    <w:multiLevelType w:val="hybridMultilevel"/>
    <w:tmpl w:val="41ACEA96"/>
    <w:lvl w:ilvl="0" w:tplc="06A8C010">
      <w:start w:val="1"/>
      <w:numFmt w:val="decimal"/>
      <w:pStyle w:val="TOC3"/>
      <w:lvlText w:val="%1."/>
      <w:lvlJc w:val="left"/>
      <w:pPr>
        <w:ind w:left="1287" w:hanging="360"/>
      </w:pPr>
      <w:rPr>
        <w:rFonts w:cs="David" w:hint="default"/>
        <w:bCs w:val="0"/>
        <w:iCs w:val="0"/>
        <w:szCs w:val="24"/>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num w:numId="1" w16cid:durableId="158813192">
    <w:abstractNumId w:val="8"/>
  </w:num>
  <w:num w:numId="2" w16cid:durableId="647249062">
    <w:abstractNumId w:val="8"/>
    <w:lvlOverride w:ilvl="0">
      <w:startOverride w:val="1"/>
    </w:lvlOverride>
  </w:num>
  <w:num w:numId="3" w16cid:durableId="1136264607">
    <w:abstractNumId w:val="11"/>
  </w:num>
  <w:num w:numId="4" w16cid:durableId="1943996115">
    <w:abstractNumId w:val="2"/>
  </w:num>
  <w:num w:numId="5" w16cid:durableId="1398555301">
    <w:abstractNumId w:val="10"/>
  </w:num>
  <w:num w:numId="6" w16cid:durableId="1802376793">
    <w:abstractNumId w:val="6"/>
  </w:num>
  <w:num w:numId="7" w16cid:durableId="1992055561">
    <w:abstractNumId w:val="9"/>
  </w:num>
  <w:num w:numId="8" w16cid:durableId="940599978">
    <w:abstractNumId w:val="0"/>
  </w:num>
  <w:num w:numId="9" w16cid:durableId="1410735946">
    <w:abstractNumId w:val="4"/>
  </w:num>
  <w:num w:numId="10" w16cid:durableId="1241718096">
    <w:abstractNumId w:val="3"/>
  </w:num>
  <w:num w:numId="11" w16cid:durableId="1178890740">
    <w:abstractNumId w:val="7"/>
  </w:num>
  <w:num w:numId="12" w16cid:durableId="274405768">
    <w:abstractNumId w:val="1"/>
  </w:num>
  <w:num w:numId="13" w16cid:durableId="44527660">
    <w:abstractNumId w:val="5"/>
  </w:num>
  <w:num w:numId="14" w16cid:durableId="55419936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189"/>
    <w:rsid w:val="000151C7"/>
    <w:rsid w:val="00025C7E"/>
    <w:rsid w:val="000673D3"/>
    <w:rsid w:val="00074A96"/>
    <w:rsid w:val="00077A35"/>
    <w:rsid w:val="00087227"/>
    <w:rsid w:val="000912DC"/>
    <w:rsid w:val="001033C2"/>
    <w:rsid w:val="001037FD"/>
    <w:rsid w:val="00147AD5"/>
    <w:rsid w:val="001613E7"/>
    <w:rsid w:val="001908BB"/>
    <w:rsid w:val="001D6506"/>
    <w:rsid w:val="001F22C2"/>
    <w:rsid w:val="00207CD2"/>
    <w:rsid w:val="00217661"/>
    <w:rsid w:val="00254893"/>
    <w:rsid w:val="00265C53"/>
    <w:rsid w:val="00286B83"/>
    <w:rsid w:val="002F2990"/>
    <w:rsid w:val="00347F9D"/>
    <w:rsid w:val="00363187"/>
    <w:rsid w:val="0039028E"/>
    <w:rsid w:val="0039060C"/>
    <w:rsid w:val="00391053"/>
    <w:rsid w:val="003973D4"/>
    <w:rsid w:val="003F18D2"/>
    <w:rsid w:val="003F67FF"/>
    <w:rsid w:val="00496726"/>
    <w:rsid w:val="004A68E4"/>
    <w:rsid w:val="004E4189"/>
    <w:rsid w:val="004F422A"/>
    <w:rsid w:val="00554371"/>
    <w:rsid w:val="00565F54"/>
    <w:rsid w:val="00584B88"/>
    <w:rsid w:val="00586A98"/>
    <w:rsid w:val="005B785F"/>
    <w:rsid w:val="00647CFA"/>
    <w:rsid w:val="006E04EC"/>
    <w:rsid w:val="00706060"/>
    <w:rsid w:val="0072203D"/>
    <w:rsid w:val="00725FA1"/>
    <w:rsid w:val="007367FD"/>
    <w:rsid w:val="00741CA8"/>
    <w:rsid w:val="007A585B"/>
    <w:rsid w:val="007B0063"/>
    <w:rsid w:val="007D03DD"/>
    <w:rsid w:val="007D6509"/>
    <w:rsid w:val="007F30B5"/>
    <w:rsid w:val="008008BE"/>
    <w:rsid w:val="0080376A"/>
    <w:rsid w:val="00835676"/>
    <w:rsid w:val="00836BDD"/>
    <w:rsid w:val="00885F20"/>
    <w:rsid w:val="008B55D8"/>
    <w:rsid w:val="009022DF"/>
    <w:rsid w:val="00904859"/>
    <w:rsid w:val="009061CE"/>
    <w:rsid w:val="00945AE9"/>
    <w:rsid w:val="009D3084"/>
    <w:rsid w:val="009F44F3"/>
    <w:rsid w:val="009F7AF1"/>
    <w:rsid w:val="00A13549"/>
    <w:rsid w:val="00A41F44"/>
    <w:rsid w:val="00A51E76"/>
    <w:rsid w:val="00A74E80"/>
    <w:rsid w:val="00B06C6E"/>
    <w:rsid w:val="00B62481"/>
    <w:rsid w:val="00B74185"/>
    <w:rsid w:val="00B80647"/>
    <w:rsid w:val="00BA176A"/>
    <w:rsid w:val="00BF561B"/>
    <w:rsid w:val="00C47194"/>
    <w:rsid w:val="00C70644"/>
    <w:rsid w:val="00CD06F2"/>
    <w:rsid w:val="00CE085F"/>
    <w:rsid w:val="00D036BC"/>
    <w:rsid w:val="00D214A2"/>
    <w:rsid w:val="00D64012"/>
    <w:rsid w:val="00D7668D"/>
    <w:rsid w:val="00D94654"/>
    <w:rsid w:val="00DB4D67"/>
    <w:rsid w:val="00E00B56"/>
    <w:rsid w:val="00E61350"/>
    <w:rsid w:val="00E625C7"/>
    <w:rsid w:val="00E8554F"/>
    <w:rsid w:val="00EC19BA"/>
    <w:rsid w:val="00EC2DB0"/>
    <w:rsid w:val="00F956AC"/>
    <w:rsid w:val="00FA23AD"/>
    <w:rsid w:val="00FB0069"/>
    <w:rsid w:val="00FB1DBA"/>
    <w:rsid w:val="00FE12E5"/>
    <w:rsid w:val="00FF6E0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F4F7A2"/>
  <w15:chartTrackingRefBased/>
  <w15:docId w15:val="{796746BD-4E66-4C19-BFA8-5C92781E4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qFormat="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1F22C2"/>
    <w:pPr>
      <w:widowControl w:val="0"/>
      <w:bidi/>
      <w:spacing w:after="0" w:line="360" w:lineRule="auto"/>
      <w:ind w:left="340"/>
      <w:contextualSpacing/>
      <w:jc w:val="both"/>
    </w:pPr>
    <w:rPr>
      <w:rFonts w:ascii="David" w:hAnsi="David" w:cs="David"/>
      <w:sz w:val="24"/>
      <w:szCs w:val="24"/>
    </w:rPr>
  </w:style>
  <w:style w:type="paragraph" w:styleId="10">
    <w:name w:val="heading 1"/>
    <w:basedOn w:val="a0"/>
    <w:next w:val="a0"/>
    <w:link w:val="11"/>
    <w:uiPriority w:val="9"/>
    <w:qFormat/>
    <w:rsid w:val="001F22C2"/>
    <w:pPr>
      <w:keepNext/>
      <w:keepLines/>
      <w:spacing w:before="240"/>
      <w:jc w:val="center"/>
      <w:outlineLvl w:val="0"/>
    </w:pPr>
    <w:rPr>
      <w:rFonts w:asciiTheme="majorHAnsi" w:eastAsiaTheme="majorEastAsia" w:hAnsiTheme="majorHAnsi"/>
      <w:bCs/>
      <w:sz w:val="32"/>
      <w:szCs w:val="36"/>
    </w:rPr>
  </w:style>
  <w:style w:type="paragraph" w:styleId="2">
    <w:name w:val="heading 2"/>
    <w:basedOn w:val="a0"/>
    <w:next w:val="a0"/>
    <w:link w:val="20"/>
    <w:unhideWhenUsed/>
    <w:qFormat/>
    <w:rsid w:val="001F22C2"/>
    <w:pPr>
      <w:ind w:left="0"/>
      <w:jc w:val="left"/>
      <w:outlineLvl w:val="1"/>
    </w:pPr>
    <w:rPr>
      <w:rFonts w:asciiTheme="majorHAnsi" w:eastAsiaTheme="majorEastAsia" w:hAnsiTheme="majorHAnsi"/>
      <w:bCs/>
      <w:sz w:val="26"/>
      <w:szCs w:val="36"/>
      <w:u w:val="single"/>
    </w:rPr>
  </w:style>
  <w:style w:type="paragraph" w:styleId="3">
    <w:name w:val="heading 3"/>
    <w:basedOn w:val="a0"/>
    <w:next w:val="a0"/>
    <w:link w:val="30"/>
    <w:unhideWhenUsed/>
    <w:qFormat/>
    <w:rsid w:val="001F22C2"/>
    <w:pPr>
      <w:spacing w:before="40"/>
      <w:ind w:left="0"/>
      <w:jc w:val="left"/>
      <w:outlineLvl w:val="2"/>
    </w:pPr>
    <w:rPr>
      <w:rFonts w:asciiTheme="majorHAnsi" w:eastAsiaTheme="majorEastAsia" w:hAnsiTheme="majorHAnsi"/>
      <w:szCs w:val="28"/>
      <w:u w:val="double"/>
    </w:rPr>
  </w:style>
  <w:style w:type="paragraph" w:styleId="4">
    <w:name w:val="heading 4"/>
    <w:basedOn w:val="a0"/>
    <w:next w:val="a0"/>
    <w:link w:val="40"/>
    <w:uiPriority w:val="9"/>
    <w:unhideWhenUsed/>
    <w:qFormat/>
    <w:rsid w:val="001F22C2"/>
    <w:pPr>
      <w:numPr>
        <w:numId w:val="14"/>
      </w:numPr>
      <w:spacing w:before="40" w:after="120"/>
      <w:outlineLvl w:val="3"/>
    </w:pPr>
    <w:rPr>
      <w:b/>
      <w:bCs/>
      <w:color w:val="000000" w:themeColor="text1"/>
      <w:szCs w:val="28"/>
    </w:rPr>
  </w:style>
  <w:style w:type="paragraph" w:styleId="5">
    <w:name w:val="heading 5"/>
    <w:basedOn w:val="a0"/>
    <w:next w:val="a0"/>
    <w:link w:val="50"/>
    <w:uiPriority w:val="9"/>
    <w:unhideWhenUsed/>
    <w:qFormat/>
    <w:rsid w:val="001F22C2"/>
    <w:pPr>
      <w:spacing w:line="259" w:lineRule="auto"/>
      <w:outlineLvl w:val="4"/>
    </w:pPr>
    <w:rPr>
      <w:color w:val="000000" w:themeColor="tex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כותרת 1 תו"/>
    <w:basedOn w:val="a1"/>
    <w:link w:val="10"/>
    <w:uiPriority w:val="9"/>
    <w:rsid w:val="001F22C2"/>
    <w:rPr>
      <w:rFonts w:asciiTheme="majorHAnsi" w:eastAsiaTheme="majorEastAsia" w:hAnsiTheme="majorHAnsi" w:cs="David"/>
      <w:bCs/>
      <w:sz w:val="32"/>
      <w:szCs w:val="36"/>
    </w:rPr>
  </w:style>
  <w:style w:type="character" w:customStyle="1" w:styleId="20">
    <w:name w:val="כותרת 2 תו"/>
    <w:basedOn w:val="a1"/>
    <w:link w:val="2"/>
    <w:rsid w:val="001F22C2"/>
    <w:rPr>
      <w:rFonts w:asciiTheme="majorHAnsi" w:eastAsiaTheme="majorEastAsia" w:hAnsiTheme="majorHAnsi" w:cs="David"/>
      <w:bCs/>
      <w:sz w:val="26"/>
      <w:szCs w:val="36"/>
      <w:u w:val="single"/>
    </w:rPr>
  </w:style>
  <w:style w:type="character" w:customStyle="1" w:styleId="30">
    <w:name w:val="כותרת 3 תו"/>
    <w:basedOn w:val="a1"/>
    <w:link w:val="3"/>
    <w:rsid w:val="001F22C2"/>
    <w:rPr>
      <w:rFonts w:asciiTheme="majorHAnsi" w:eastAsiaTheme="majorEastAsia" w:hAnsiTheme="majorHAnsi" w:cs="David"/>
      <w:sz w:val="24"/>
      <w:szCs w:val="28"/>
      <w:u w:val="double"/>
    </w:rPr>
  </w:style>
  <w:style w:type="character" w:customStyle="1" w:styleId="40">
    <w:name w:val="כותרת 4 תו"/>
    <w:basedOn w:val="a1"/>
    <w:link w:val="4"/>
    <w:uiPriority w:val="9"/>
    <w:rsid w:val="001F22C2"/>
    <w:rPr>
      <w:rFonts w:ascii="David" w:hAnsi="David" w:cs="David"/>
      <w:b/>
      <w:bCs/>
      <w:color w:val="000000" w:themeColor="text1"/>
      <w:sz w:val="24"/>
      <w:szCs w:val="28"/>
    </w:rPr>
  </w:style>
  <w:style w:type="character" w:customStyle="1" w:styleId="50">
    <w:name w:val="כותרת 5 תו"/>
    <w:basedOn w:val="a1"/>
    <w:link w:val="5"/>
    <w:uiPriority w:val="9"/>
    <w:rsid w:val="001F22C2"/>
    <w:rPr>
      <w:rFonts w:ascii="David" w:hAnsi="David" w:cs="David"/>
      <w:color w:val="000000" w:themeColor="text1"/>
      <w:sz w:val="24"/>
      <w:szCs w:val="24"/>
    </w:rPr>
  </w:style>
  <w:style w:type="paragraph" w:customStyle="1" w:styleId="TableText">
    <w:name w:val="Table Text"/>
    <w:basedOn w:val="a0"/>
    <w:rsid w:val="001F22C2"/>
    <w:pPr>
      <w:keepLines/>
      <w:tabs>
        <w:tab w:val="left" w:pos="624"/>
        <w:tab w:val="left" w:pos="1247"/>
      </w:tabs>
      <w:snapToGrid w:val="0"/>
      <w:ind w:left="0"/>
      <w:jc w:val="left"/>
    </w:pPr>
    <w:rPr>
      <w:rFonts w:ascii="Arial" w:eastAsia="Arial Unicode MS" w:hAnsi="Arial"/>
      <w:snapToGrid w:val="0"/>
      <w:sz w:val="20"/>
      <w:szCs w:val="26"/>
    </w:rPr>
  </w:style>
  <w:style w:type="paragraph" w:customStyle="1" w:styleId="TableSideHeading">
    <w:name w:val="Table SideHeading"/>
    <w:basedOn w:val="TableText"/>
    <w:rsid w:val="001F22C2"/>
    <w:pPr>
      <w:outlineLvl w:val="2"/>
    </w:pPr>
  </w:style>
  <w:style w:type="paragraph" w:customStyle="1" w:styleId="TableBlock">
    <w:name w:val="Table Block"/>
    <w:basedOn w:val="TableText"/>
    <w:rsid w:val="001F22C2"/>
    <w:pPr>
      <w:jc w:val="both"/>
    </w:pPr>
  </w:style>
  <w:style w:type="paragraph" w:customStyle="1" w:styleId="TableHead">
    <w:name w:val="Table Head"/>
    <w:basedOn w:val="TableText"/>
    <w:rsid w:val="001F22C2"/>
    <w:pPr>
      <w:jc w:val="center"/>
      <w:outlineLvl w:val="1"/>
    </w:pPr>
    <w:rPr>
      <w:b/>
      <w:bCs/>
    </w:rPr>
  </w:style>
  <w:style w:type="paragraph" w:customStyle="1" w:styleId="HeadMitparsemetBaze">
    <w:name w:val="Head MitparsemetBaze"/>
    <w:basedOn w:val="a0"/>
    <w:rsid w:val="001F22C2"/>
    <w:pPr>
      <w:keepNext/>
      <w:keepLines/>
      <w:pageBreakBefore/>
      <w:snapToGrid w:val="0"/>
      <w:spacing w:before="480"/>
    </w:pPr>
    <w:rPr>
      <w:rFonts w:ascii="Arial" w:eastAsia="Arial Unicode MS" w:hAnsi="Arial"/>
      <w:b/>
      <w:bCs/>
      <w:snapToGrid w:val="0"/>
      <w:sz w:val="20"/>
      <w:szCs w:val="26"/>
    </w:rPr>
  </w:style>
  <w:style w:type="paragraph" w:customStyle="1" w:styleId="HeadHatzaotHok">
    <w:name w:val="Head HatzaotHok"/>
    <w:basedOn w:val="a0"/>
    <w:link w:val="HeadHatzaotHok0"/>
    <w:rsid w:val="001F22C2"/>
    <w:pPr>
      <w:keepNext/>
      <w:keepLines/>
      <w:snapToGrid w:val="0"/>
      <w:spacing w:before="240"/>
      <w:jc w:val="center"/>
      <w:outlineLvl w:val="0"/>
    </w:pPr>
    <w:rPr>
      <w:rFonts w:ascii="Arial" w:eastAsia="Arial Unicode MS" w:hAnsi="Arial"/>
      <w:b/>
      <w:bCs/>
      <w:snapToGrid w:val="0"/>
      <w:sz w:val="20"/>
      <w:szCs w:val="26"/>
    </w:rPr>
  </w:style>
  <w:style w:type="character" w:customStyle="1" w:styleId="HeadHatzaotHok0">
    <w:name w:val="Head HatzaotHok תו"/>
    <w:link w:val="HeadHatzaotHok"/>
    <w:rsid w:val="004E4189"/>
    <w:rPr>
      <w:rFonts w:ascii="Arial" w:eastAsia="Arial Unicode MS" w:hAnsi="Arial" w:cs="David"/>
      <w:b/>
      <w:bCs/>
      <w:snapToGrid w:val="0"/>
      <w:sz w:val="20"/>
      <w:szCs w:val="26"/>
    </w:rPr>
  </w:style>
  <w:style w:type="paragraph" w:customStyle="1" w:styleId="Hesber1st">
    <w:name w:val="Hesber 1st"/>
    <w:basedOn w:val="Hesber"/>
    <w:rsid w:val="001F22C2"/>
    <w:pPr>
      <w:tabs>
        <w:tab w:val="left" w:pos="680"/>
        <w:tab w:val="left" w:pos="1020"/>
      </w:tabs>
      <w:ind w:firstLine="0"/>
    </w:pPr>
  </w:style>
  <w:style w:type="paragraph" w:customStyle="1" w:styleId="Hesber">
    <w:name w:val="Hesber"/>
    <w:basedOn w:val="a0"/>
    <w:rsid w:val="001F22C2"/>
    <w:pPr>
      <w:snapToGrid w:val="0"/>
      <w:ind w:left="0" w:firstLine="340"/>
    </w:pPr>
    <w:rPr>
      <w:rFonts w:ascii="Arial" w:eastAsia="Arial Unicode MS" w:hAnsi="Arial"/>
      <w:snapToGrid w:val="0"/>
      <w:sz w:val="20"/>
      <w:szCs w:val="26"/>
    </w:rPr>
  </w:style>
  <w:style w:type="paragraph" w:customStyle="1" w:styleId="HeadDivreiHesber">
    <w:name w:val="Head DivreiHesber"/>
    <w:basedOn w:val="a0"/>
    <w:rsid w:val="001F22C2"/>
    <w:pPr>
      <w:snapToGrid w:val="0"/>
      <w:spacing w:before="360" w:after="120"/>
      <w:jc w:val="center"/>
      <w:outlineLvl w:val="1"/>
    </w:pPr>
    <w:rPr>
      <w:rFonts w:ascii="Arial" w:eastAsia="Arial Unicode MS" w:hAnsi="Arial"/>
      <w:b/>
      <w:snapToGrid w:val="0"/>
      <w:spacing w:val="40"/>
      <w:sz w:val="20"/>
      <w:szCs w:val="26"/>
    </w:rPr>
  </w:style>
  <w:style w:type="paragraph" w:customStyle="1" w:styleId="HeadHatzaotHok4Futer">
    <w:name w:val="Head HatzaotHok4Futer"/>
    <w:basedOn w:val="HeadHatzaotHok"/>
    <w:rsid w:val="001F22C2"/>
    <w:pPr>
      <w:spacing w:before="120" w:after="120"/>
    </w:pPr>
    <w:rPr>
      <w:color w:val="FF0000"/>
      <w:w w:val="80"/>
    </w:rPr>
  </w:style>
  <w:style w:type="character" w:customStyle="1" w:styleId="a4">
    <w:name w:val="טקסט הערת סיום תו"/>
    <w:basedOn w:val="a1"/>
    <w:link w:val="a5"/>
    <w:semiHidden/>
    <w:rsid w:val="004E4189"/>
    <w:rPr>
      <w:rFonts w:ascii="David" w:hAnsi="David" w:cs="David"/>
      <w:sz w:val="14"/>
    </w:rPr>
  </w:style>
  <w:style w:type="paragraph" w:styleId="a5">
    <w:name w:val="endnote text"/>
    <w:basedOn w:val="a0"/>
    <w:link w:val="a4"/>
    <w:semiHidden/>
    <w:rsid w:val="001F22C2"/>
    <w:pPr>
      <w:ind w:left="227" w:hanging="227"/>
    </w:pPr>
    <w:rPr>
      <w:sz w:val="14"/>
      <w:szCs w:val="22"/>
    </w:rPr>
  </w:style>
  <w:style w:type="paragraph" w:customStyle="1" w:styleId="TableInnerSideHeading">
    <w:name w:val="Table InnerSideHeading"/>
    <w:basedOn w:val="TableSideHeading"/>
    <w:rsid w:val="001F22C2"/>
    <w:pPr>
      <w:outlineLvl w:val="9"/>
    </w:pPr>
  </w:style>
  <w:style w:type="paragraph" w:styleId="a6">
    <w:name w:val="footnote text"/>
    <w:basedOn w:val="a0"/>
    <w:link w:val="a7"/>
    <w:autoRedefine/>
    <w:semiHidden/>
    <w:rsid w:val="001F22C2"/>
    <w:pPr>
      <w:snapToGrid w:val="0"/>
      <w:spacing w:line="240" w:lineRule="auto"/>
      <w:ind w:left="0"/>
      <w:jc w:val="left"/>
    </w:pPr>
    <w:rPr>
      <w:rFonts w:ascii="Arial" w:eastAsia="Arial Unicode MS" w:hAnsi="Arial"/>
      <w:snapToGrid w:val="0"/>
      <w:sz w:val="14"/>
      <w:szCs w:val="20"/>
    </w:rPr>
  </w:style>
  <w:style w:type="character" w:customStyle="1" w:styleId="a7">
    <w:name w:val="טקסט הערת שוליים תו"/>
    <w:basedOn w:val="a1"/>
    <w:link w:val="a6"/>
    <w:semiHidden/>
    <w:rsid w:val="004E4189"/>
    <w:rPr>
      <w:rFonts w:ascii="Arial" w:eastAsia="Arial Unicode MS" w:hAnsi="Arial" w:cs="David"/>
      <w:snapToGrid w:val="0"/>
      <w:sz w:val="14"/>
      <w:szCs w:val="20"/>
    </w:rPr>
  </w:style>
  <w:style w:type="character" w:styleId="a8">
    <w:name w:val="footnote reference"/>
    <w:aliases w:val="Footnote Reference_0,Footnote Reference_0_0,Footnote Reference"/>
    <w:basedOn w:val="a1"/>
    <w:semiHidden/>
    <w:rsid w:val="001F22C2"/>
    <w:rPr>
      <w:vertAlign w:val="superscript"/>
    </w:rPr>
  </w:style>
  <w:style w:type="paragraph" w:customStyle="1" w:styleId="HesberHeading">
    <w:name w:val="Hesber Heading"/>
    <w:basedOn w:val="Hesber"/>
    <w:rsid w:val="001F22C2"/>
    <w:pPr>
      <w:tabs>
        <w:tab w:val="left" w:pos="624"/>
        <w:tab w:val="left" w:pos="1247"/>
      </w:tabs>
    </w:pPr>
    <w:rPr>
      <w:b/>
      <w:bCs/>
    </w:rPr>
  </w:style>
  <w:style w:type="paragraph" w:customStyle="1" w:styleId="HesberWriters">
    <w:name w:val="Hesber Writers"/>
    <w:basedOn w:val="Hesber"/>
    <w:rsid w:val="001F22C2"/>
    <w:pPr>
      <w:spacing w:before="120" w:after="120"/>
      <w:ind w:left="1418"/>
      <w:jc w:val="right"/>
    </w:pPr>
    <w:rPr>
      <w:b/>
      <w:bCs/>
    </w:rPr>
  </w:style>
  <w:style w:type="paragraph" w:customStyle="1" w:styleId="TableBlockOutdent">
    <w:name w:val="Table BlockOutdent"/>
    <w:basedOn w:val="TableBlock"/>
    <w:rsid w:val="001F22C2"/>
    <w:pPr>
      <w:ind w:left="624" w:hanging="624"/>
    </w:pPr>
  </w:style>
  <w:style w:type="paragraph" w:styleId="a9">
    <w:name w:val="header"/>
    <w:basedOn w:val="a0"/>
    <w:link w:val="aa"/>
    <w:rsid w:val="001F22C2"/>
    <w:pPr>
      <w:tabs>
        <w:tab w:val="center" w:pos="4153"/>
        <w:tab w:val="right" w:pos="8306"/>
      </w:tabs>
    </w:pPr>
  </w:style>
  <w:style w:type="character" w:customStyle="1" w:styleId="aa">
    <w:name w:val="כותרת עליונה תו"/>
    <w:basedOn w:val="a1"/>
    <w:link w:val="a9"/>
    <w:rsid w:val="004E4189"/>
    <w:rPr>
      <w:rFonts w:ascii="David" w:hAnsi="David" w:cs="David"/>
      <w:sz w:val="24"/>
      <w:szCs w:val="24"/>
    </w:rPr>
  </w:style>
  <w:style w:type="paragraph" w:styleId="ab">
    <w:name w:val="footer"/>
    <w:basedOn w:val="a0"/>
    <w:link w:val="ac"/>
    <w:rsid w:val="001F22C2"/>
    <w:pPr>
      <w:tabs>
        <w:tab w:val="center" w:pos="4153"/>
        <w:tab w:val="right" w:pos="8306"/>
      </w:tabs>
    </w:pPr>
  </w:style>
  <w:style w:type="character" w:customStyle="1" w:styleId="ac">
    <w:name w:val="כותרת תחתונה תו"/>
    <w:basedOn w:val="a1"/>
    <w:link w:val="ab"/>
    <w:rsid w:val="004E4189"/>
    <w:rPr>
      <w:rFonts w:ascii="David" w:hAnsi="David" w:cs="David"/>
      <w:sz w:val="24"/>
      <w:szCs w:val="24"/>
    </w:rPr>
  </w:style>
  <w:style w:type="character" w:styleId="ad">
    <w:name w:val="page number"/>
    <w:basedOn w:val="a1"/>
    <w:rsid w:val="001F22C2"/>
  </w:style>
  <w:style w:type="paragraph" w:customStyle="1" w:styleId="Cover1-Reshumot">
    <w:name w:val="Cover 1-Reshumot"/>
    <w:basedOn w:val="a0"/>
    <w:rsid w:val="001F22C2"/>
    <w:pPr>
      <w:tabs>
        <w:tab w:val="left" w:pos="1191"/>
        <w:tab w:val="left" w:pos="1587"/>
      </w:tabs>
      <w:snapToGrid w:val="0"/>
      <w:spacing w:before="240" w:after="240" w:line="480" w:lineRule="auto"/>
      <w:jc w:val="center"/>
    </w:pPr>
    <w:rPr>
      <w:rFonts w:ascii="Arial" w:eastAsia="Arial Unicode MS" w:hAnsi="Arial"/>
      <w:snapToGrid w:val="0"/>
      <w:sz w:val="20"/>
      <w:szCs w:val="26"/>
    </w:rPr>
  </w:style>
  <w:style w:type="paragraph" w:customStyle="1" w:styleId="Cover2-HatzaotHok">
    <w:name w:val="Cover 2-HatzaotHok"/>
    <w:basedOn w:val="Cover1-Reshumot"/>
    <w:rsid w:val="001F22C2"/>
    <w:rPr>
      <w:sz w:val="36"/>
      <w:szCs w:val="52"/>
    </w:rPr>
  </w:style>
  <w:style w:type="paragraph" w:customStyle="1" w:styleId="Cover3-Haknesset">
    <w:name w:val="Cover 3-Haknesset"/>
    <w:basedOn w:val="Cover1-Reshumot"/>
    <w:rsid w:val="001F22C2"/>
    <w:rPr>
      <w:b/>
      <w:bCs/>
      <w:spacing w:val="60"/>
    </w:rPr>
  </w:style>
  <w:style w:type="paragraph" w:customStyle="1" w:styleId="Cover4-Date">
    <w:name w:val="Cover 4-Date"/>
    <w:basedOn w:val="a0"/>
    <w:rsid w:val="001F22C2"/>
    <w:pPr>
      <w:pBdr>
        <w:bottom w:val="single" w:sz="4" w:space="0" w:color="auto"/>
      </w:pBdr>
      <w:tabs>
        <w:tab w:val="center" w:pos="4820"/>
        <w:tab w:val="right" w:pos="9639"/>
      </w:tabs>
      <w:snapToGrid w:val="0"/>
      <w:spacing w:before="240" w:after="240"/>
      <w:jc w:val="left"/>
    </w:pPr>
    <w:rPr>
      <w:rFonts w:ascii="Arial" w:eastAsia="Arial Unicode MS" w:hAnsi="Arial"/>
      <w:snapToGrid w:val="0"/>
      <w:sz w:val="20"/>
      <w:szCs w:val="26"/>
    </w:rPr>
  </w:style>
  <w:style w:type="paragraph" w:customStyle="1" w:styleId="Ragil">
    <w:name w:val="Ragil"/>
    <w:basedOn w:val="a0"/>
    <w:rsid w:val="001F22C2"/>
    <w:pPr>
      <w:snapToGrid w:val="0"/>
      <w:jc w:val="left"/>
    </w:pPr>
    <w:rPr>
      <w:rFonts w:ascii="Arial" w:eastAsia="Arial Unicode MS" w:hAnsi="Arial"/>
      <w:snapToGrid w:val="0"/>
      <w:sz w:val="20"/>
      <w:szCs w:val="26"/>
    </w:rPr>
  </w:style>
  <w:style w:type="paragraph" w:styleId="ae">
    <w:name w:val="TOC Heading"/>
    <w:basedOn w:val="10"/>
    <w:next w:val="a0"/>
    <w:uiPriority w:val="39"/>
    <w:unhideWhenUsed/>
    <w:qFormat/>
    <w:rsid w:val="001F22C2"/>
    <w:pPr>
      <w:widowControl/>
      <w:spacing w:before="120" w:after="120"/>
      <w:outlineLvl w:val="9"/>
    </w:pPr>
    <w:rPr>
      <w:rtl/>
      <w:cs/>
    </w:rPr>
  </w:style>
  <w:style w:type="paragraph" w:styleId="TOC1">
    <w:name w:val="toc 1"/>
    <w:basedOn w:val="a0"/>
    <w:next w:val="a0"/>
    <w:autoRedefine/>
    <w:uiPriority w:val="39"/>
    <w:unhideWhenUsed/>
    <w:rsid w:val="001F22C2"/>
    <w:pPr>
      <w:tabs>
        <w:tab w:val="right" w:leader="dot" w:pos="9629"/>
      </w:tabs>
      <w:spacing w:after="100"/>
    </w:pPr>
    <w:rPr>
      <w:bCs/>
      <w:szCs w:val="22"/>
    </w:rPr>
  </w:style>
  <w:style w:type="paragraph" w:styleId="TOC2">
    <w:name w:val="toc 2"/>
    <w:basedOn w:val="a0"/>
    <w:next w:val="a0"/>
    <w:uiPriority w:val="39"/>
    <w:unhideWhenUsed/>
    <w:rsid w:val="001F22C2"/>
    <w:pPr>
      <w:tabs>
        <w:tab w:val="right" w:leader="dot" w:pos="9628"/>
      </w:tabs>
      <w:spacing w:after="100"/>
    </w:pPr>
    <w:rPr>
      <w:szCs w:val="22"/>
    </w:rPr>
  </w:style>
  <w:style w:type="character" w:styleId="Hyperlink">
    <w:name w:val="Hyperlink"/>
    <w:basedOn w:val="a1"/>
    <w:uiPriority w:val="99"/>
    <w:unhideWhenUsed/>
    <w:rsid w:val="001F22C2"/>
    <w:rPr>
      <w:color w:val="0563C1" w:themeColor="hyperlink"/>
      <w:u w:val="single"/>
    </w:rPr>
  </w:style>
  <w:style w:type="paragraph" w:styleId="TOC3">
    <w:name w:val="toc 3"/>
    <w:basedOn w:val="a0"/>
    <w:next w:val="a0"/>
    <w:uiPriority w:val="39"/>
    <w:unhideWhenUsed/>
    <w:rsid w:val="001F22C2"/>
    <w:pPr>
      <w:numPr>
        <w:numId w:val="3"/>
      </w:numPr>
      <w:tabs>
        <w:tab w:val="num" w:pos="624"/>
        <w:tab w:val="right" w:leader="dot" w:pos="9629"/>
      </w:tabs>
      <w:spacing w:after="100"/>
      <w:ind w:left="811" w:hanging="357"/>
    </w:pPr>
    <w:rPr>
      <w:szCs w:val="22"/>
    </w:rPr>
  </w:style>
  <w:style w:type="paragraph" w:styleId="TOC4">
    <w:name w:val="toc 4"/>
    <w:basedOn w:val="a0"/>
    <w:next w:val="a0"/>
    <w:autoRedefine/>
    <w:uiPriority w:val="39"/>
    <w:unhideWhenUsed/>
    <w:qFormat/>
    <w:rsid w:val="001F22C2"/>
    <w:pPr>
      <w:tabs>
        <w:tab w:val="right" w:leader="dot" w:pos="9628"/>
      </w:tabs>
      <w:spacing w:after="100"/>
      <w:ind w:left="567"/>
    </w:pPr>
    <w:rPr>
      <w:rFonts w:asciiTheme="minorHAnsi" w:eastAsiaTheme="minorEastAsia" w:hAnsiTheme="minorHAnsi"/>
      <w:noProof/>
      <w:sz w:val="22"/>
      <w:szCs w:val="22"/>
    </w:rPr>
  </w:style>
  <w:style w:type="paragraph" w:customStyle="1" w:styleId="TableHead2">
    <w:name w:val="Table Head2"/>
    <w:basedOn w:val="TableHead"/>
    <w:qFormat/>
    <w:rsid w:val="001F22C2"/>
    <w:pPr>
      <w:outlineLvl w:val="9"/>
    </w:pPr>
  </w:style>
  <w:style w:type="paragraph" w:customStyle="1" w:styleId="TableSideHeading2">
    <w:name w:val="Table SideHeading2"/>
    <w:basedOn w:val="TableSideHeading"/>
    <w:autoRedefine/>
    <w:qFormat/>
    <w:rsid w:val="001F22C2"/>
    <w:pPr>
      <w:keepLines w:val="0"/>
      <w:outlineLvl w:val="9"/>
    </w:pPr>
  </w:style>
  <w:style w:type="paragraph" w:customStyle="1" w:styleId="0">
    <w:name w:val="סגנון שורה ראשונה:  0  ס''מ"/>
    <w:basedOn w:val="2"/>
    <w:rsid w:val="001F22C2"/>
    <w:rPr>
      <w:rFonts w:eastAsia="Times New Roman"/>
    </w:rPr>
  </w:style>
  <w:style w:type="paragraph" w:styleId="af">
    <w:name w:val="List Paragraph"/>
    <w:basedOn w:val="a0"/>
    <w:uiPriority w:val="34"/>
    <w:qFormat/>
    <w:rsid w:val="001F22C2"/>
    <w:pPr>
      <w:widowControl/>
      <w:spacing w:line="259" w:lineRule="auto"/>
    </w:pPr>
    <w:rPr>
      <w:rFonts w:asciiTheme="minorHAnsi" w:hAnsiTheme="minorHAnsi"/>
      <w:sz w:val="22"/>
    </w:rPr>
  </w:style>
  <w:style w:type="paragraph" w:customStyle="1" w:styleId="p00">
    <w:name w:val="p00"/>
    <w:basedOn w:val="a0"/>
    <w:rsid w:val="004E4189"/>
    <w:pPr>
      <w:widowControl/>
      <w:bidi w:val="0"/>
      <w:spacing w:before="100" w:beforeAutospacing="1" w:after="100" w:afterAutospacing="1" w:line="240" w:lineRule="auto"/>
      <w:ind w:left="0"/>
      <w:contextualSpacing w:val="0"/>
      <w:jc w:val="left"/>
    </w:pPr>
    <w:rPr>
      <w:rFonts w:ascii="Times New Roman" w:eastAsia="Times New Roman" w:hAnsi="Times New Roman" w:cs="Times New Roman"/>
    </w:rPr>
  </w:style>
  <w:style w:type="character" w:customStyle="1" w:styleId="big-number">
    <w:name w:val="big-number"/>
    <w:basedOn w:val="a1"/>
    <w:rsid w:val="004E4189"/>
  </w:style>
  <w:style w:type="character" w:customStyle="1" w:styleId="default">
    <w:name w:val="default"/>
    <w:basedOn w:val="a1"/>
    <w:rsid w:val="004E4189"/>
  </w:style>
  <w:style w:type="paragraph" w:customStyle="1" w:styleId="p22">
    <w:name w:val="p22"/>
    <w:basedOn w:val="a0"/>
    <w:rsid w:val="004E4189"/>
    <w:pPr>
      <w:widowControl/>
      <w:bidi w:val="0"/>
      <w:spacing w:before="100" w:beforeAutospacing="1" w:after="100" w:afterAutospacing="1" w:line="240" w:lineRule="auto"/>
      <w:ind w:left="0"/>
      <w:contextualSpacing w:val="0"/>
      <w:jc w:val="left"/>
    </w:pPr>
    <w:rPr>
      <w:rFonts w:ascii="Times New Roman" w:eastAsia="Times New Roman" w:hAnsi="Times New Roman" w:cs="Times New Roman"/>
    </w:rPr>
  </w:style>
  <w:style w:type="paragraph" w:styleId="af0">
    <w:name w:val="Balloon Text"/>
    <w:basedOn w:val="a0"/>
    <w:link w:val="af1"/>
    <w:unhideWhenUsed/>
    <w:rsid w:val="004E4189"/>
    <w:pPr>
      <w:spacing w:line="240" w:lineRule="auto"/>
    </w:pPr>
    <w:rPr>
      <w:rFonts w:ascii="Tahoma" w:hAnsi="Tahoma" w:cs="Tahoma"/>
      <w:sz w:val="18"/>
      <w:szCs w:val="18"/>
    </w:rPr>
  </w:style>
  <w:style w:type="character" w:customStyle="1" w:styleId="af1">
    <w:name w:val="טקסט בלונים תו"/>
    <w:basedOn w:val="a1"/>
    <w:link w:val="af0"/>
    <w:rsid w:val="004E4189"/>
    <w:rPr>
      <w:rFonts w:ascii="Tahoma" w:hAnsi="Tahoma" w:cs="Tahoma"/>
      <w:sz w:val="18"/>
      <w:szCs w:val="18"/>
    </w:rPr>
  </w:style>
  <w:style w:type="character" w:styleId="af2">
    <w:name w:val="annotation reference"/>
    <w:basedOn w:val="a1"/>
    <w:uiPriority w:val="99"/>
    <w:semiHidden/>
    <w:unhideWhenUsed/>
    <w:rsid w:val="004E4189"/>
    <w:rPr>
      <w:sz w:val="16"/>
      <w:szCs w:val="16"/>
    </w:rPr>
  </w:style>
  <w:style w:type="character" w:customStyle="1" w:styleId="af3">
    <w:name w:val="טקסט הערה תו"/>
    <w:basedOn w:val="a1"/>
    <w:link w:val="af4"/>
    <w:uiPriority w:val="99"/>
    <w:semiHidden/>
    <w:rsid w:val="004E4189"/>
    <w:rPr>
      <w:rFonts w:ascii="David" w:hAnsi="David" w:cs="David"/>
      <w:sz w:val="20"/>
      <w:szCs w:val="20"/>
    </w:rPr>
  </w:style>
  <w:style w:type="paragraph" w:styleId="af4">
    <w:name w:val="annotation text"/>
    <w:basedOn w:val="a0"/>
    <w:link w:val="af3"/>
    <w:uiPriority w:val="99"/>
    <w:unhideWhenUsed/>
    <w:rsid w:val="004E4189"/>
    <w:pPr>
      <w:spacing w:line="240" w:lineRule="auto"/>
    </w:pPr>
    <w:rPr>
      <w:sz w:val="20"/>
      <w:szCs w:val="20"/>
    </w:rPr>
  </w:style>
  <w:style w:type="character" w:customStyle="1" w:styleId="af5">
    <w:name w:val="נושא הערה תו"/>
    <w:basedOn w:val="af3"/>
    <w:link w:val="af6"/>
    <w:semiHidden/>
    <w:rsid w:val="004E4189"/>
    <w:rPr>
      <w:rFonts w:ascii="David" w:hAnsi="David" w:cs="David"/>
      <w:b/>
      <w:bCs/>
      <w:sz w:val="20"/>
      <w:szCs w:val="20"/>
    </w:rPr>
  </w:style>
  <w:style w:type="paragraph" w:styleId="af6">
    <w:name w:val="annotation subject"/>
    <w:basedOn w:val="af4"/>
    <w:next w:val="af4"/>
    <w:link w:val="af5"/>
    <w:semiHidden/>
    <w:unhideWhenUsed/>
    <w:rsid w:val="004E4189"/>
    <w:rPr>
      <w:b/>
      <w:bCs/>
    </w:rPr>
  </w:style>
  <w:style w:type="paragraph" w:customStyle="1" w:styleId="P000">
    <w:name w:val="P00"/>
    <w:link w:val="P001"/>
    <w:rsid w:val="004E4189"/>
    <w:pPr>
      <w:widowControl w:val="0"/>
      <w:tabs>
        <w:tab w:val="left" w:pos="624"/>
        <w:tab w:val="left" w:pos="1021"/>
        <w:tab w:val="left" w:pos="1474"/>
        <w:tab w:val="left" w:pos="1928"/>
        <w:tab w:val="left" w:pos="2381"/>
        <w:tab w:val="left" w:pos="2835"/>
        <w:tab w:val="right" w:leader="dot" w:pos="6259"/>
      </w:tabs>
      <w:suppressAutoHyphens/>
      <w:autoSpaceDE w:val="0"/>
      <w:autoSpaceDN w:val="0"/>
      <w:bidi/>
      <w:spacing w:before="60" w:after="0" w:line="240" w:lineRule="auto"/>
      <w:ind w:left="2835"/>
      <w:jc w:val="both"/>
    </w:pPr>
    <w:rPr>
      <w:rFonts w:ascii="Times New Roman" w:eastAsia="Times New Roman" w:hAnsi="Times New Roman" w:cs="FrankRuehl"/>
      <w:noProof/>
      <w:sz w:val="20"/>
      <w:szCs w:val="26"/>
      <w:lang w:eastAsia="he-IL"/>
    </w:rPr>
  </w:style>
  <w:style w:type="character" w:customStyle="1" w:styleId="P001">
    <w:name w:val="P00 תו"/>
    <w:link w:val="P000"/>
    <w:rsid w:val="004E4189"/>
    <w:rPr>
      <w:rFonts w:ascii="Times New Roman" w:eastAsia="Times New Roman" w:hAnsi="Times New Roman" w:cs="FrankRuehl"/>
      <w:noProof/>
      <w:sz w:val="20"/>
      <w:szCs w:val="26"/>
      <w:lang w:eastAsia="he-IL"/>
    </w:rPr>
  </w:style>
  <w:style w:type="paragraph" w:styleId="NormalWeb">
    <w:name w:val="Normal (Web)"/>
    <w:basedOn w:val="a0"/>
    <w:uiPriority w:val="99"/>
    <w:unhideWhenUsed/>
    <w:rsid w:val="004E4189"/>
    <w:pPr>
      <w:widowControl/>
      <w:bidi w:val="0"/>
      <w:spacing w:before="100" w:beforeAutospacing="1" w:after="100" w:afterAutospacing="1" w:line="240" w:lineRule="auto"/>
      <w:ind w:left="0"/>
      <w:contextualSpacing w:val="0"/>
      <w:jc w:val="left"/>
    </w:pPr>
    <w:rPr>
      <w:rFonts w:ascii="Times New Roman" w:hAnsi="Times New Roman" w:cs="Times New Roman"/>
    </w:rPr>
  </w:style>
  <w:style w:type="paragraph" w:styleId="af7">
    <w:name w:val="No Spacing"/>
    <w:uiPriority w:val="1"/>
    <w:qFormat/>
    <w:rsid w:val="004E4189"/>
    <w:pPr>
      <w:widowControl w:val="0"/>
      <w:bidi/>
      <w:spacing w:after="0" w:line="240" w:lineRule="auto"/>
      <w:ind w:left="340"/>
      <w:contextualSpacing/>
      <w:jc w:val="both"/>
    </w:pPr>
    <w:rPr>
      <w:rFonts w:ascii="David" w:hAnsi="David" w:cs="David"/>
      <w:sz w:val="24"/>
      <w:szCs w:val="24"/>
    </w:rPr>
  </w:style>
  <w:style w:type="paragraph" w:customStyle="1" w:styleId="TableText2">
    <w:name w:val="Table Text2"/>
    <w:basedOn w:val="TableText"/>
    <w:rsid w:val="004E4189"/>
    <w:pPr>
      <w:autoSpaceDE w:val="0"/>
      <w:autoSpaceDN w:val="0"/>
      <w:adjustRightInd w:val="0"/>
      <w:spacing w:before="102"/>
      <w:ind w:right="57"/>
      <w:contextualSpacing w:val="0"/>
      <w:jc w:val="both"/>
      <w:textAlignment w:val="center"/>
    </w:pPr>
    <w:rPr>
      <w:color w:val="000000"/>
      <w:spacing w:val="1"/>
      <w:lang w:eastAsia="ja-JP"/>
    </w:rPr>
  </w:style>
  <w:style w:type="paragraph" w:styleId="af8">
    <w:name w:val="Title"/>
    <w:basedOn w:val="a0"/>
    <w:link w:val="af9"/>
    <w:qFormat/>
    <w:rsid w:val="004E4189"/>
    <w:pPr>
      <w:autoSpaceDE w:val="0"/>
      <w:autoSpaceDN w:val="0"/>
      <w:adjustRightInd w:val="0"/>
      <w:spacing w:before="102" w:line="204" w:lineRule="atLeast"/>
      <w:ind w:left="0" w:firstLine="340"/>
      <w:contextualSpacing w:val="0"/>
      <w:jc w:val="center"/>
      <w:textAlignment w:val="center"/>
    </w:pPr>
    <w:rPr>
      <w:rFonts w:ascii="Hadasa Roso SL" w:eastAsia="MS Mincho" w:hAnsi="Hadasa Roso SL"/>
      <w:b/>
      <w:bCs/>
      <w:color w:val="000000"/>
      <w:spacing w:val="1"/>
      <w:sz w:val="28"/>
      <w:szCs w:val="28"/>
      <w:u w:val="single"/>
      <w:lang w:eastAsia="ja-JP"/>
    </w:rPr>
  </w:style>
  <w:style w:type="character" w:customStyle="1" w:styleId="af9">
    <w:name w:val="כותרת טקסט תו"/>
    <w:basedOn w:val="a1"/>
    <w:link w:val="af8"/>
    <w:rsid w:val="004E4189"/>
    <w:rPr>
      <w:rFonts w:ascii="Hadasa Roso SL" w:eastAsia="MS Mincho" w:hAnsi="Hadasa Roso SL" w:cs="David"/>
      <w:b/>
      <w:bCs/>
      <w:color w:val="000000"/>
      <w:spacing w:val="1"/>
      <w:sz w:val="28"/>
      <w:szCs w:val="28"/>
      <w:u w:val="single"/>
      <w:lang w:eastAsia="ja-JP"/>
    </w:rPr>
  </w:style>
  <w:style w:type="paragraph" w:customStyle="1" w:styleId="TOC">
    <w:name w:val="TOC"/>
    <w:basedOn w:val="a0"/>
    <w:uiPriority w:val="99"/>
    <w:rsid w:val="004E4189"/>
    <w:pPr>
      <w:tabs>
        <w:tab w:val="left" w:leader="dot" w:pos="8789"/>
      </w:tabs>
      <w:autoSpaceDE w:val="0"/>
      <w:autoSpaceDN w:val="0"/>
      <w:adjustRightInd w:val="0"/>
      <w:snapToGrid w:val="0"/>
      <w:spacing w:before="120"/>
      <w:ind w:left="284" w:right="284" w:firstLine="340"/>
      <w:contextualSpacing w:val="0"/>
      <w:textAlignment w:val="center"/>
    </w:pPr>
    <w:rPr>
      <w:rFonts w:ascii="Arial" w:eastAsia="Arial Unicode MS" w:hAnsi="Arial"/>
      <w:snapToGrid w:val="0"/>
      <w:color w:val="000000"/>
      <w:spacing w:val="1"/>
      <w:sz w:val="20"/>
      <w:szCs w:val="26"/>
      <w:lang w:eastAsia="ja-JP"/>
    </w:rPr>
  </w:style>
  <w:style w:type="paragraph" w:customStyle="1" w:styleId="TOCpg">
    <w:name w:val="TOC pg"/>
    <w:basedOn w:val="TOC"/>
    <w:uiPriority w:val="99"/>
    <w:rsid w:val="004E4189"/>
    <w:pPr>
      <w:spacing w:after="120"/>
      <w:ind w:right="567"/>
      <w:jc w:val="right"/>
    </w:pPr>
  </w:style>
  <w:style w:type="paragraph" w:customStyle="1" w:styleId="Noparagraphstyle">
    <w:name w:val="[No paragraph style]"/>
    <w:rsid w:val="004E4189"/>
    <w:pPr>
      <w:widowControl w:val="0"/>
      <w:autoSpaceDE w:val="0"/>
      <w:autoSpaceDN w:val="0"/>
      <w:bidi/>
      <w:adjustRightInd w:val="0"/>
      <w:snapToGrid w:val="0"/>
      <w:spacing w:after="0" w:line="360" w:lineRule="auto"/>
      <w:textAlignment w:val="center"/>
    </w:pPr>
    <w:rPr>
      <w:rFonts w:ascii="Arial" w:eastAsia="Arial Unicode MS" w:hAnsi="Arial" w:cs="David"/>
      <w:snapToGrid w:val="0"/>
      <w:color w:val="000000"/>
      <w:sz w:val="20"/>
      <w:szCs w:val="26"/>
      <w:lang w:eastAsia="ja-JP"/>
    </w:rPr>
  </w:style>
  <w:style w:type="paragraph" w:customStyle="1" w:styleId="msonormal0">
    <w:name w:val="msonormal"/>
    <w:basedOn w:val="a0"/>
    <w:rsid w:val="004E4189"/>
    <w:pPr>
      <w:widowControl/>
      <w:bidi w:val="0"/>
      <w:spacing w:before="100" w:beforeAutospacing="1" w:after="100" w:afterAutospacing="1" w:line="240" w:lineRule="auto"/>
      <w:ind w:left="0"/>
      <w:contextualSpacing w:val="0"/>
      <w:jc w:val="left"/>
    </w:pPr>
    <w:rPr>
      <w:rFonts w:ascii="Times New Roman" w:eastAsia="Times New Roman" w:hAnsi="Times New Roman" w:cs="Times New Roman"/>
    </w:rPr>
  </w:style>
  <w:style w:type="paragraph" w:customStyle="1" w:styleId="Textpetek">
    <w:name w:val="סגנון Text petek"/>
    <w:basedOn w:val="a0"/>
    <w:rsid w:val="004E4189"/>
    <w:pPr>
      <w:ind w:left="567" w:right="567" w:firstLine="567"/>
    </w:pPr>
    <w:rPr>
      <w:rFonts w:eastAsia="Times New Roman"/>
      <w:sz w:val="26"/>
      <w:szCs w:val="26"/>
    </w:rPr>
  </w:style>
  <w:style w:type="paragraph" w:customStyle="1" w:styleId="a">
    <w:name w:val="טקסט הסתייגויות"/>
    <w:basedOn w:val="Noparagraphstyle"/>
    <w:rsid w:val="004E4189"/>
    <w:pPr>
      <w:numPr>
        <w:numId w:val="5"/>
      </w:numPr>
      <w:ind w:left="567" w:hanging="567"/>
      <w:contextualSpacing/>
      <w:jc w:val="both"/>
      <w:textAlignment w:val="auto"/>
    </w:pPr>
    <w:rPr>
      <w:snapToGrid/>
      <w:sz w:val="26"/>
    </w:rPr>
  </w:style>
  <w:style w:type="paragraph" w:customStyle="1" w:styleId="afa">
    <w:name w:val="כותרת הסתייגווית"/>
    <w:basedOn w:val="2"/>
    <w:next w:val="a"/>
    <w:rsid w:val="004E4189"/>
    <w:rPr>
      <w:rFonts w:eastAsia="Times New Roman"/>
      <w:b/>
    </w:rPr>
  </w:style>
  <w:style w:type="paragraph" w:customStyle="1" w:styleId="afb">
    <w:name w:val="כותרת ח&quot;כים"/>
    <w:basedOn w:val="Noparagraphstyle"/>
    <w:next w:val="a"/>
    <w:rsid w:val="004E4189"/>
    <w:pPr>
      <w:textAlignment w:val="auto"/>
    </w:pPr>
    <w:rPr>
      <w:b/>
      <w:bCs/>
      <w:snapToGrid/>
      <w:u w:val="single"/>
    </w:rPr>
  </w:style>
  <w:style w:type="paragraph" w:customStyle="1" w:styleId="afc">
    <w:name w:val="כותרת סעיף"/>
    <w:basedOn w:val="3"/>
    <w:next w:val="afb"/>
    <w:rsid w:val="004E4189"/>
  </w:style>
  <w:style w:type="paragraph" w:customStyle="1" w:styleId="afd">
    <w:name w:val="טקסט ללא מספור"/>
    <w:basedOn w:val="a"/>
    <w:qFormat/>
    <w:rsid w:val="004E4189"/>
    <w:pPr>
      <w:numPr>
        <w:numId w:val="0"/>
      </w:numPr>
    </w:pPr>
  </w:style>
  <w:style w:type="paragraph" w:customStyle="1" w:styleId="Table">
    <w:name w:val="Table"/>
    <w:basedOn w:val="a0"/>
    <w:uiPriority w:val="99"/>
    <w:rsid w:val="004E4189"/>
    <w:pPr>
      <w:suppressAutoHyphens/>
      <w:spacing w:line="180" w:lineRule="atLeast"/>
    </w:pPr>
    <w:rPr>
      <w:rFonts w:ascii="HadasaMFO" w:eastAsiaTheme="minorEastAsia" w:hAnsiTheme="minorHAnsi" w:cs="HadasaMFO"/>
      <w:sz w:val="18"/>
      <w:szCs w:val="18"/>
    </w:rPr>
  </w:style>
  <w:style w:type="paragraph" w:customStyle="1" w:styleId="hesberlehagdara">
    <w:name w:val="hesber lehagdara"/>
    <w:basedOn w:val="Hesber1st"/>
    <w:uiPriority w:val="99"/>
    <w:rsid w:val="004E4189"/>
    <w:rPr>
      <w:snapToGrid/>
    </w:rPr>
  </w:style>
  <w:style w:type="paragraph" w:customStyle="1" w:styleId="Notes">
    <w:name w:val="Notes"/>
    <w:basedOn w:val="a0"/>
    <w:uiPriority w:val="99"/>
    <w:rsid w:val="004E4189"/>
    <w:pPr>
      <w:spacing w:line="200" w:lineRule="atLeast"/>
      <w:ind w:left="227" w:hanging="227"/>
    </w:pPr>
    <w:rPr>
      <w:rFonts w:eastAsia="Calibri"/>
      <w:sz w:val="16"/>
      <w:szCs w:val="16"/>
    </w:rPr>
  </w:style>
  <w:style w:type="paragraph" w:customStyle="1" w:styleId="Notes1st">
    <w:name w:val="Notes 1st"/>
    <w:basedOn w:val="Notes"/>
    <w:uiPriority w:val="99"/>
    <w:rsid w:val="004E4189"/>
    <w:pPr>
      <w:pageBreakBefore/>
      <w:pBdr>
        <w:top w:val="single" w:sz="4" w:space="8" w:color="auto"/>
      </w:pBdr>
    </w:pPr>
  </w:style>
  <w:style w:type="character" w:customStyle="1" w:styleId="afe">
    <w:name w:val="מספר חוברת"/>
    <w:uiPriority w:val="99"/>
    <w:rsid w:val="004E4189"/>
    <w:rPr>
      <w:rFonts w:ascii="Times New Roman" w:hAnsi="Times New Roman" w:cs="Times New Roman" w:hint="default"/>
      <w:b/>
      <w:bCs w:val="0"/>
      <w:sz w:val="24"/>
    </w:rPr>
  </w:style>
  <w:style w:type="character" w:customStyle="1" w:styleId="Bold4Hesber1">
    <w:name w:val="Bold4Hesber1"/>
    <w:uiPriority w:val="99"/>
    <w:rsid w:val="004E4189"/>
    <w:rPr>
      <w:rFonts w:ascii="HadasaMFO" w:cs="HadasaMFO" w:hint="cs"/>
      <w:b/>
      <w:bCs w:val="0"/>
      <w:lang w:bidi="he-IL"/>
    </w:rPr>
  </w:style>
  <w:style w:type="character" w:customStyle="1" w:styleId="12">
    <w:name w:val="טקסט הערה תו1"/>
    <w:basedOn w:val="a1"/>
    <w:uiPriority w:val="99"/>
    <w:rsid w:val="00DB4D67"/>
    <w:rPr>
      <w:rFonts w:ascii="David" w:eastAsiaTheme="minorHAnsi" w:hAnsi="David" w:cs="David"/>
    </w:rPr>
  </w:style>
  <w:style w:type="numbering" w:customStyle="1" w:styleId="1">
    <w:name w:val="רשימה נוכחית1"/>
    <w:uiPriority w:val="99"/>
    <w:rsid w:val="00584B88"/>
    <w:pPr>
      <w:numPr>
        <w:numId w:val="11"/>
      </w:numPr>
    </w:pPr>
  </w:style>
  <w:style w:type="character" w:styleId="aff">
    <w:name w:val="endnote reference"/>
    <w:basedOn w:val="a1"/>
    <w:semiHidden/>
    <w:rsid w:val="001F22C2"/>
    <w:rPr>
      <w:vertAlign w:val="superscript"/>
    </w:rPr>
  </w:style>
  <w:style w:type="paragraph" w:styleId="TOC5">
    <w:name w:val="toc 5"/>
    <w:basedOn w:val="a0"/>
    <w:next w:val="a0"/>
    <w:semiHidden/>
    <w:unhideWhenUsed/>
    <w:rsid w:val="001F22C2"/>
    <w:pPr>
      <w:tabs>
        <w:tab w:val="right" w:leader="dot" w:pos="9628"/>
      </w:tabs>
      <w:spacing w:after="100"/>
      <w:ind w:left="567"/>
    </w:pPr>
    <w:rPr>
      <w:szCs w:val="22"/>
    </w:rPr>
  </w:style>
  <w:style w:type="paragraph" w:styleId="TOC6">
    <w:name w:val="toc 6"/>
    <w:basedOn w:val="a0"/>
    <w:next w:val="a0"/>
    <w:autoRedefine/>
    <w:semiHidden/>
    <w:unhideWhenUsed/>
    <w:rsid w:val="001F22C2"/>
    <w:pPr>
      <w:spacing w:after="100"/>
      <w:ind w:left="850"/>
    </w:pPr>
  </w:style>
  <w:style w:type="paragraph" w:styleId="TOC7">
    <w:name w:val="toc 7"/>
    <w:basedOn w:val="a0"/>
    <w:next w:val="a0"/>
    <w:autoRedefine/>
    <w:semiHidden/>
    <w:unhideWhenUsed/>
    <w:rsid w:val="001F22C2"/>
    <w:pPr>
      <w:spacing w:after="100"/>
      <w:ind w:left="1020"/>
    </w:pPr>
  </w:style>
  <w:style w:type="paragraph" w:styleId="TOC8">
    <w:name w:val="toc 8"/>
    <w:basedOn w:val="a0"/>
    <w:next w:val="a0"/>
    <w:autoRedefine/>
    <w:semiHidden/>
    <w:unhideWhenUsed/>
    <w:rsid w:val="001F22C2"/>
    <w:pPr>
      <w:spacing w:after="100"/>
      <w:ind w:left="1190"/>
    </w:pPr>
  </w:style>
  <w:style w:type="paragraph" w:styleId="TOC9">
    <w:name w:val="toc 9"/>
    <w:basedOn w:val="a0"/>
    <w:next w:val="a0"/>
    <w:autoRedefine/>
    <w:semiHidden/>
    <w:unhideWhenUsed/>
    <w:rsid w:val="001F22C2"/>
    <w:pPr>
      <w:spacing w:after="100"/>
      <w:ind w:left="1360"/>
    </w:pPr>
  </w:style>
  <w:style w:type="table" w:styleId="aff0">
    <w:name w:val="Table Grid"/>
    <w:basedOn w:val="a2"/>
    <w:rsid w:val="001F22C2"/>
    <w:pPr>
      <w:spacing w:after="0" w:line="240" w:lineRule="auto"/>
    </w:pPr>
    <w:rPr>
      <w:rFonts w:ascii="Times New Roman" w:eastAsia="MS Mincho"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Plain Table 1"/>
    <w:basedOn w:val="a2"/>
    <w:uiPriority w:val="41"/>
    <w:rsid w:val="001F22C2"/>
    <w:pPr>
      <w:spacing w:after="0" w:line="240" w:lineRule="auto"/>
    </w:pPr>
    <w:rPr>
      <w:rFonts w:ascii="Times New Roman" w:eastAsia="MS Mincho" w:hAnsi="Times New Roman" w:cs="Times New Roman"/>
      <w:sz w:val="20"/>
      <w:szCs w:val="20"/>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14">
    <w:name w:val="Grid Table 1 Light"/>
    <w:basedOn w:val="a2"/>
    <w:uiPriority w:val="46"/>
    <w:rsid w:val="001F22C2"/>
    <w:pPr>
      <w:spacing w:after="0" w:line="240" w:lineRule="auto"/>
    </w:pPr>
    <w:rPr>
      <w:rFonts w:ascii="Times New Roman" w:eastAsia="MS Mincho" w:hAnsi="Times New Roman" w:cs="Times New Roman"/>
      <w:sz w:val="20"/>
      <w:szCs w:val="20"/>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aff1">
    <w:name w:val="טבלת חקיקה"/>
    <w:basedOn w:val="a2"/>
    <w:uiPriority w:val="99"/>
    <w:rsid w:val="001F22C2"/>
    <w:pPr>
      <w:spacing w:after="0" w:line="240" w:lineRule="auto"/>
      <w:jc w:val="center"/>
    </w:pPr>
    <w:rPr>
      <w:rFonts w:ascii="Times New Roman" w:eastAsia="MS Mincho" w:hAnsi="Times New Roman"/>
      <w:sz w:val="20"/>
      <w:szCs w:val="20"/>
    </w:rPr>
    <w:tblPr/>
    <w:tcPr>
      <w:tcMar>
        <w:left w:w="0" w:type="dxa"/>
        <w:right w:w="0" w:type="dxa"/>
      </w:tcMar>
      <w:vAlign w:val="center"/>
    </w:tcPr>
    <w:tblStylePr w:type="firstRow">
      <w:pPr>
        <w:jc w:val="center"/>
      </w:pPr>
      <w:rPr>
        <w:rFonts w:cs="David"/>
        <w:bCs/>
        <w:szCs w:val="24"/>
      </w:rPr>
      <w:tblPr/>
      <w:tcPr>
        <w:tcBorders>
          <w:top w:val="nil"/>
          <w:left w:val="nil"/>
          <w:bottom w:val="nil"/>
          <w:right w:val="nil"/>
          <w:insideH w:val="nil"/>
          <w:insideV w:val="nil"/>
          <w:tl2br w:val="nil"/>
          <w:tr2bl w:val="nil"/>
        </w:tcBorders>
        <w:shd w:val="pct10" w:color="auto" w:fill="auto"/>
      </w:tcPr>
    </w:tblStylePr>
    <w:tblStylePr w:type="firstCol">
      <w:tblPr/>
      <w:tcPr>
        <w:noWrap/>
      </w:tcPr>
    </w:tblStylePr>
    <w:tblStylePr w:type="lastCol">
      <w:pPr>
        <w:jc w:val="center"/>
      </w:pPr>
      <w:tblPr/>
      <w:tcPr>
        <w:noWrap/>
      </w:tcPr>
    </w:tblStylePr>
  </w:style>
  <w:style w:type="table" w:customStyle="1" w:styleId="15">
    <w:name w:val="סגנון1"/>
    <w:basedOn w:val="a2"/>
    <w:uiPriority w:val="99"/>
    <w:rsid w:val="001F22C2"/>
    <w:pPr>
      <w:spacing w:after="0" w:line="240" w:lineRule="auto"/>
    </w:pPr>
    <w:rPr>
      <w:rFonts w:ascii="Times New Roman" w:eastAsia="MS Mincho" w:hAnsi="Times New Roman" w:cs="Times New Roman"/>
      <w:sz w:val="20"/>
      <w:szCs w:val="20"/>
    </w:rPr>
    <w:tblPr/>
    <w:tblStylePr w:type="firstCol">
      <w:pPr>
        <w:keepNext w:val="0"/>
        <w:keepLines/>
        <w:pageBreakBefore w:val="0"/>
        <w:widowControl w:val="0"/>
        <w:suppressLineNumbers w:val="0"/>
        <w:suppressAutoHyphens w:val="0"/>
        <w:wordWrap/>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312811">
      <w:bodyDiv w:val="1"/>
      <w:marLeft w:val="0"/>
      <w:marRight w:val="0"/>
      <w:marTop w:val="0"/>
      <w:marBottom w:val="0"/>
      <w:divBdr>
        <w:top w:val="none" w:sz="0" w:space="0" w:color="auto"/>
        <w:left w:val="none" w:sz="0" w:space="0" w:color="auto"/>
        <w:bottom w:val="none" w:sz="0" w:space="0" w:color="auto"/>
        <w:right w:val="none" w:sz="0" w:space="0" w:color="auto"/>
      </w:divBdr>
    </w:div>
    <w:div w:id="196553809">
      <w:bodyDiv w:val="1"/>
      <w:marLeft w:val="0"/>
      <w:marRight w:val="0"/>
      <w:marTop w:val="0"/>
      <w:marBottom w:val="0"/>
      <w:divBdr>
        <w:top w:val="none" w:sz="0" w:space="0" w:color="auto"/>
        <w:left w:val="none" w:sz="0" w:space="0" w:color="auto"/>
        <w:bottom w:val="none" w:sz="0" w:space="0" w:color="auto"/>
        <w:right w:val="none" w:sz="0" w:space="0" w:color="auto"/>
      </w:divBdr>
    </w:div>
    <w:div w:id="270355193">
      <w:bodyDiv w:val="1"/>
      <w:marLeft w:val="0"/>
      <w:marRight w:val="0"/>
      <w:marTop w:val="0"/>
      <w:marBottom w:val="0"/>
      <w:divBdr>
        <w:top w:val="none" w:sz="0" w:space="0" w:color="auto"/>
        <w:left w:val="none" w:sz="0" w:space="0" w:color="auto"/>
        <w:bottom w:val="none" w:sz="0" w:space="0" w:color="auto"/>
        <w:right w:val="none" w:sz="0" w:space="0" w:color="auto"/>
      </w:divBdr>
    </w:div>
    <w:div w:id="306475787">
      <w:bodyDiv w:val="1"/>
      <w:marLeft w:val="0"/>
      <w:marRight w:val="0"/>
      <w:marTop w:val="0"/>
      <w:marBottom w:val="0"/>
      <w:divBdr>
        <w:top w:val="none" w:sz="0" w:space="0" w:color="auto"/>
        <w:left w:val="none" w:sz="0" w:space="0" w:color="auto"/>
        <w:bottom w:val="none" w:sz="0" w:space="0" w:color="auto"/>
        <w:right w:val="none" w:sz="0" w:space="0" w:color="auto"/>
      </w:divBdr>
    </w:div>
    <w:div w:id="357969034">
      <w:bodyDiv w:val="1"/>
      <w:marLeft w:val="0"/>
      <w:marRight w:val="0"/>
      <w:marTop w:val="0"/>
      <w:marBottom w:val="0"/>
      <w:divBdr>
        <w:top w:val="none" w:sz="0" w:space="0" w:color="auto"/>
        <w:left w:val="none" w:sz="0" w:space="0" w:color="auto"/>
        <w:bottom w:val="none" w:sz="0" w:space="0" w:color="auto"/>
        <w:right w:val="none" w:sz="0" w:space="0" w:color="auto"/>
      </w:divBdr>
    </w:div>
    <w:div w:id="1183545524">
      <w:bodyDiv w:val="1"/>
      <w:marLeft w:val="0"/>
      <w:marRight w:val="0"/>
      <w:marTop w:val="0"/>
      <w:marBottom w:val="0"/>
      <w:divBdr>
        <w:top w:val="none" w:sz="0" w:space="0" w:color="auto"/>
        <w:left w:val="none" w:sz="0" w:space="0" w:color="auto"/>
        <w:bottom w:val="none" w:sz="0" w:space="0" w:color="auto"/>
        <w:right w:val="none" w:sz="0" w:space="0" w:color="auto"/>
      </w:divBdr>
    </w:div>
    <w:div w:id="1271816588">
      <w:bodyDiv w:val="1"/>
      <w:marLeft w:val="0"/>
      <w:marRight w:val="0"/>
      <w:marTop w:val="0"/>
      <w:marBottom w:val="0"/>
      <w:divBdr>
        <w:top w:val="none" w:sz="0" w:space="0" w:color="auto"/>
        <w:left w:val="none" w:sz="0" w:space="0" w:color="auto"/>
        <w:bottom w:val="none" w:sz="0" w:space="0" w:color="auto"/>
        <w:right w:val="none" w:sz="0" w:space="0" w:color="auto"/>
      </w:divBdr>
    </w:div>
    <w:div w:id="1888176484">
      <w:bodyDiv w:val="1"/>
      <w:marLeft w:val="0"/>
      <w:marRight w:val="0"/>
      <w:marTop w:val="0"/>
      <w:marBottom w:val="0"/>
      <w:divBdr>
        <w:top w:val="none" w:sz="0" w:space="0" w:color="auto"/>
        <w:left w:val="none" w:sz="0" w:space="0" w:color="auto"/>
        <w:bottom w:val="none" w:sz="0" w:space="0" w:color="auto"/>
        <w:right w:val="none" w:sz="0" w:space="0" w:color="auto"/>
      </w:divBdr>
    </w:div>
    <w:div w:id="1924948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3521</Words>
  <Characters>17607</Characters>
  <Application>Microsoft Office Word</Application>
  <DocSecurity>0</DocSecurity>
  <Lines>146</Lines>
  <Paragraphs>42</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21086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קוראל רוס</dc:creator>
  <cp:keywords/>
  <dc:description/>
  <cp:lastModifiedBy>Elisha Ifrah</cp:lastModifiedBy>
  <cp:revision>2</cp:revision>
  <dcterms:created xsi:type="dcterms:W3CDTF">2026-03-19T11:20:00Z</dcterms:created>
  <dcterms:modified xsi:type="dcterms:W3CDTF">2026-03-19T11:20:00Z</dcterms:modified>
</cp:coreProperties>
</file>